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20B8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R501.  Health and Human Services, Human Services Program Licensing.</w:t>
      </w:r>
    </w:p>
    <w:p w14:paraId="1DD00FE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R501-19.  Residential Treatment Programs.</w:t>
      </w:r>
    </w:p>
    <w:p w14:paraId="51FE178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R501-19-1.  Authority and Purpose.</w:t>
      </w:r>
    </w:p>
    <w:p w14:paraId="1BD9B2B8" w14:textId="4BC0A4DA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(1)  Sections 26B-2-104 and 26B-2-117 authorize this rule.</w:t>
      </w:r>
    </w:p>
    <w:p w14:paraId="5C1E35CA" w14:textId="4DCC675E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(2)  This rule establishes standards for licensed providers to provide residential treatment and intermediate secure care.</w:t>
      </w:r>
    </w:p>
    <w:p w14:paraId="0E026FE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0E8B015A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R501-19-2.  Definitions.</w:t>
      </w:r>
    </w:p>
    <w:p w14:paraId="05BFA1C8" w14:textId="0446669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Terms in this rule are defined in Rules R380-600 and R501-1 and Section 26B-2-101. Additionally:</w:t>
      </w:r>
    </w:p>
    <w:p w14:paraId="23AE1F18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(1)  "Deemed site" means:</w:t>
      </w:r>
    </w:p>
    <w:p w14:paraId="69EBA05A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the same as defined in Section 26B-2-110; and</w:t>
      </w:r>
    </w:p>
    <w:p w14:paraId="0F73853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a human services program identified by a single geographic location and linked to the parent program, if one exists.</w:t>
      </w:r>
    </w:p>
    <w:p w14:paraId="411FD603" w14:textId="1BD96779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(2)  "Good standing" means the same as defined in Section 26B-2-110.</w:t>
      </w:r>
    </w:p>
    <w:p w14:paraId="7D61FC0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330E17DF" w14:textId="77777777" w:rsidR="00921310" w:rsidRPr="00EC5621" w:rsidRDefault="00921310" w:rsidP="00921310">
      <w:pPr>
        <w:widowControl/>
        <w:suppressAutoHyphens/>
        <w:rPr>
          <w:bCs/>
          <w:sz w:val="18"/>
          <w:szCs w:val="20"/>
        </w:rPr>
      </w:pPr>
      <w:r w:rsidRPr="00EC5621">
        <w:rPr>
          <w:b/>
          <w:bCs/>
          <w:sz w:val="18"/>
          <w:szCs w:val="20"/>
        </w:rPr>
        <w:t>R501-19-3.  Scope.</w:t>
      </w:r>
    </w:p>
    <w:p w14:paraId="3EB6879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Each provider shall comply with any applicable federal, state, or local law, rule, or ordinance, including:</w:t>
      </w:r>
    </w:p>
    <w:p w14:paraId="7B7BE9C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(1)  Rule R380-80;</w:t>
      </w:r>
    </w:p>
    <w:p w14:paraId="5BC3FC76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(2)  Rule R380-600;</w:t>
      </w:r>
    </w:p>
    <w:p w14:paraId="08B9293E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(3)  Rule R501-1;</w:t>
      </w:r>
    </w:p>
    <w:p w14:paraId="426FD1FE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(4)  Rule R501-14; and</w:t>
      </w:r>
    </w:p>
    <w:p w14:paraId="56D7C607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(5)  this rule.</w:t>
      </w:r>
    </w:p>
    <w:p w14:paraId="2ED4E2B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38098C93" w14:textId="7E635988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R501-19-4.  Administration.</w:t>
      </w:r>
    </w:p>
    <w:p w14:paraId="6162A8EF" w14:textId="446EA8AC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(1)  Each residential treatment provider shall document local government approval, as described in Section 26B-2-117, for new program services or increased consumer capacity.</w:t>
      </w:r>
    </w:p>
    <w:p w14:paraId="20F7C83F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(2)  Any qualifying residential treatment provider:</w:t>
      </w:r>
    </w:p>
    <w:p w14:paraId="5CC9D02F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may not deny any client services solely based on a client receiving medication assisted treatment; and</w:t>
      </w:r>
    </w:p>
    <w:p w14:paraId="454476DD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shall ensure any client continues the medication assisted treatment while receiving services from the provider.</w:t>
      </w:r>
    </w:p>
    <w:p w14:paraId="6E90C351" w14:textId="0668D0D4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(3)  Each residential treatment provider shall ensure policies include client privacy accommodation in each bedroom space while ensuring client health and safety.</w:t>
      </w:r>
    </w:p>
    <w:p w14:paraId="42A1DBC2" w14:textId="7E1FFDB3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(4)  Each residential treatment provider serving a child shall:</w:t>
      </w:r>
    </w:p>
    <w:p w14:paraId="5678798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provide direct supervision that meets supervision and ratio requirements described in this section;</w:t>
      </w:r>
    </w:p>
    <w:p w14:paraId="66DAA73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ensure two direct care staff are always on duty;</w:t>
      </w:r>
    </w:p>
    <w:p w14:paraId="6D4D3F18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maintain a staff-to-client ratio of one staff to every four clients except:</w:t>
      </w:r>
    </w:p>
    <w:p w14:paraId="477A675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as otherwise required by a Department of Health and Human Services (department) contract; or</w:t>
      </w:r>
    </w:p>
    <w:p w14:paraId="3DDA61F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to reduce ratios to one staff to every 16 clients during client sleeping hours;</w:t>
      </w:r>
    </w:p>
    <w:p w14:paraId="7DED553C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only decrease the number of staff as described in this section if:</w:t>
      </w:r>
    </w:p>
    <w:p w14:paraId="14EBDF7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each client is appropriately supervised to ensure health and safety at the ratio; and</w:t>
      </w:r>
    </w:p>
    <w:p w14:paraId="37E813F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each direct care staff remains awake while on duty;</w:t>
      </w:r>
    </w:p>
    <w:p w14:paraId="5D52FF16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(e)  increase the staff-to-client ratio as necessary to ensure the health and safety of the current client population;</w:t>
      </w:r>
    </w:p>
    <w:p w14:paraId="5410E1B5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(f)  only allow direct care staff to perform direct supervision with line of sight check-ins every 15 minutes;</w:t>
      </w:r>
    </w:p>
    <w:p w14:paraId="26AFBA1E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(g)  ensure that any direct care staff member assigned to a client's one-on-one supervision is not counted at the same time in the staffing ratio for any other client, except in an emergency situation;</w:t>
      </w:r>
    </w:p>
    <w:p w14:paraId="3E83D0D0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(h)  only utilize on-site video surveillance to directly supervise a client in time out or seclusion or as an enhancement to minimum supervision ratio requirements;</w:t>
      </w:r>
    </w:p>
    <w:p w14:paraId="61EE931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conduct and document physical check-ins every 15-minutes when a client is being monitored by video; and</w:t>
      </w:r>
    </w:p>
    <w:p w14:paraId="188D461A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(j)  only use video surveillance in a bedroom:</w:t>
      </w:r>
    </w:p>
    <w:p w14:paraId="7EC7132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with client, parent, or guardian permission;</w:t>
      </w:r>
    </w:p>
    <w:p w14:paraId="3635E85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when there is a documented need;</w:t>
      </w:r>
    </w:p>
    <w:p w14:paraId="4D1EA46C" w14:textId="2C54AE12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(iii)  when the provider monitors any camera or physically checks in at intervals of 15 minutes or less; and</w:t>
      </w:r>
    </w:p>
    <w:p w14:paraId="2B96AF2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(iv)  when video surveillance complies with Rule R539-3 for serving an individual with disabilities.</w:t>
      </w:r>
    </w:p>
    <w:p w14:paraId="4EC97468" w14:textId="37F75788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(5)  Each residential treatment provider serving a child may provide step-down privileges, including authorized departures from the program and unsupervised time, if the provider:</w:t>
      </w:r>
    </w:p>
    <w:p w14:paraId="2183977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maintains a staff-to-client ratio of one direct care staff to every four clients;</w:t>
      </w:r>
    </w:p>
    <w:p w14:paraId="5055A5D6" w14:textId="26E5D50C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documents in the client record and communicates to each of the client's direct care staff:</w:t>
      </w:r>
    </w:p>
    <w:p w14:paraId="00C7F02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the individualized justification for the step-down privileges; and</w:t>
      </w:r>
    </w:p>
    <w:p w14:paraId="1154500D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which privileges are authorized by a clinical professional;</w:t>
      </w:r>
    </w:p>
    <w:p w14:paraId="6A8FB45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obtains written parental or guardian consent before allowing step-down privileges; and</w:t>
      </w:r>
    </w:p>
    <w:p w14:paraId="2605C2F0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provides a policy to each client and parent or guardian that includes:</w:t>
      </w:r>
    </w:p>
    <w:p w14:paraId="461426D6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a description of what constitutes authorized departure and unsupervised time;</w:t>
      </w:r>
    </w:p>
    <w:p w14:paraId="0E22BBAF" w14:textId="5A2B02A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a description of how each step-down privilege, including authorized departure or unsupervised time, is achieved or rescinded;</w:t>
      </w:r>
    </w:p>
    <w:p w14:paraId="6586D72D" w14:textId="407E1B3A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lastRenderedPageBreak/>
        <w:tab/>
        <w:t>(iii)  a statement that the provider will immediately communicate to each client parent or guardian and direct care staff when any step-down privilege has been rescinded; and</w:t>
      </w:r>
    </w:p>
    <w:p w14:paraId="00F9D8CE" w14:textId="40E762E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(iv)  a statement that no step-down client is allowed to perform any direct care staff duty.</w:t>
      </w:r>
    </w:p>
    <w:p w14:paraId="0BFF0931" w14:textId="6BB3CCB1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(6)  Each residential treatment provider shall make any necessary accommodation to allow a child to continue that child's education with a curriculum approved by the State Board of Education.</w:t>
      </w:r>
    </w:p>
    <w:p w14:paraId="521052AD" w14:textId="57666933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(7)  Each residential treatment provider that offers education shall use a curriculum that is recognized by an educational accreditation organization, including the State Board of Education or the National School Accreditation Board.</w:t>
      </w:r>
    </w:p>
    <w:p w14:paraId="57408CD4" w14:textId="0EDEAA9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(8)(a)  In addition to the behavior management policy and training requirements listed in Rule R501-1, each residential treatment provider serving youth shall ensure each direct care staff member is trained through a nationally or regionally recognized curriculum and can recognize the difference between a restraint and an emergency safety intervention.</w:t>
      </w:r>
    </w:p>
    <w:p w14:paraId="6267783B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An emergency safety intervention may not be used as a behavioral compliance method.</w:t>
      </w:r>
    </w:p>
    <w:p w14:paraId="367C59C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The provider shall only use an emergency safety intervention to ensure immediate safety of a client or staff member.</w:t>
      </w:r>
    </w:p>
    <w:p w14:paraId="5B8C37A6" w14:textId="0F421269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An emergency safety intervention is subject to each requirement of a restraint for reporting, debriefing, clinical reviews, and training.</w:t>
      </w:r>
    </w:p>
    <w:p w14:paraId="2D3FC2C8" w14:textId="74C8ED2E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(e)  An emergency safety intervention may exceed the limitations of any restraint listed in Rule R501-1 with documented justification explaining why a regular restraint or another less intrusive intervention was not used.</w:t>
      </w:r>
    </w:p>
    <w:p w14:paraId="02204694" w14:textId="5B3FEFE6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(9)  Each residential treatment provider serving adults may admit a 17-year-old individual if the provider:</w:t>
      </w:r>
    </w:p>
    <w:p w14:paraId="2B406007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obtains written permission from the individual's parent or legal guardian;</w:t>
      </w:r>
    </w:p>
    <w:p w14:paraId="5FB0B23A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provides clinical justification;</w:t>
      </w:r>
    </w:p>
    <w:p w14:paraId="18B2491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ensures that the individual sleeps in a room:</w:t>
      </w:r>
    </w:p>
    <w:p w14:paraId="0AA9DD88" w14:textId="73EB6B4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separate from any adult; or</w:t>
      </w:r>
    </w:p>
    <w:p w14:paraId="31A46168" w14:textId="297E6EBD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that the individual shares with one or more adults no more than two years older than the individual;</w:t>
      </w:r>
    </w:p>
    <w:p w14:paraId="0A3992B3" w14:textId="726AFF21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ensures that any adult with direct access to the individual is directly supervised by a direct care staff; and</w:t>
      </w:r>
    </w:p>
    <w:p w14:paraId="5DBD8E2E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(e)  ensures enhanced safety and supervision measures for treating a minor in an adult setting.</w:t>
      </w:r>
    </w:p>
    <w:p w14:paraId="4C045A8B" w14:textId="0DCA9738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(10)  Each residential treatment provider providing services to a substance use disorder client shall:</w:t>
      </w:r>
    </w:p>
    <w:p w14:paraId="5E126C8C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only admit a substance use disorder client with a level of care that falls within American Society of Addiction Medicine levels 3.1 through 3.5; and</w:t>
      </w:r>
    </w:p>
    <w:p w14:paraId="03DB1FD7" w14:textId="58ACB6D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obtain any required license before providing any service to a substance use disorder client outside of the residential setting with a level of care described in Subsection (10)(a), unless otherwise outlined in categorical rule.</w:t>
      </w:r>
    </w:p>
    <w:p w14:paraId="08611A94" w14:textId="74EE2A11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(11)  Each residential treatment provider that allows a client to participate in food preparation shall ensure the client is trained in safe food handling practices and the provider justifies the client's participation in writing.</w:t>
      </w:r>
    </w:p>
    <w:p w14:paraId="10455E56" w14:textId="6FD0CC94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(12)  Each residential treatment provider shall provide individual, group, and family counseling or other treatment, including skills development, at least weekly or as outlined in the individual's treatment plan.</w:t>
      </w:r>
    </w:p>
    <w:p w14:paraId="5040B00E" w14:textId="3845341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(13)  A clinical professional shall oversee any therapeutic services conducted in the therapeutic environment including:</w:t>
      </w:r>
    </w:p>
    <w:p w14:paraId="5CAEE65F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life skill development;</w:t>
      </w:r>
    </w:p>
    <w:p w14:paraId="3CC8A9D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psychoeducation; and</w:t>
      </w:r>
    </w:p>
    <w:p w14:paraId="7927B8EC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social coaching.</w:t>
      </w:r>
    </w:p>
    <w:p w14:paraId="03EE3B8F" w14:textId="51EC269A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(14)  Each residential treatment provider shall document the time and date of each service provided to each client and include the signature of the individual providing the service.</w:t>
      </w:r>
    </w:p>
    <w:p w14:paraId="656FA04F" w14:textId="6B91D063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(15)  Each residential treatment provider shall provide indoor space for free time and informal client activities.</w:t>
      </w:r>
    </w:p>
    <w:p w14:paraId="0665DBDB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0CB01C48" w14:textId="53F45C2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R501-19-5.  Requirements for Intermediate Secure Treatment.</w:t>
      </w:r>
    </w:p>
    <w:p w14:paraId="5B39A0B7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(1)(a)  Each intermediate secure treatment provider shall clearly define in policy the responsibilities of the manager described in Section R501-1-15.</w:t>
      </w:r>
    </w:p>
    <w:p w14:paraId="4CD76CEA" w14:textId="607F22B2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The provider shall ensure the manager described in Subsection R501-1-15(2):</w:t>
      </w:r>
    </w:p>
    <w:p w14:paraId="7F7A1E14" w14:textId="0862F629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is at least 25 years old;</w:t>
      </w:r>
    </w:p>
    <w:p w14:paraId="0AE0D3A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has a bachelor's degree or equivalent training in a human service-related field; and</w:t>
      </w:r>
    </w:p>
    <w:p w14:paraId="6E23DD1E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(iii)  has at least three years management experience in a residential or secure treatment setting.</w:t>
      </w:r>
    </w:p>
    <w:p w14:paraId="70E6BDFC" w14:textId="6DF2998F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(2)(a)  Subsection R501-19-4(4)(c) does not apply to an intermediate secure treatment provider serving youth.</w:t>
      </w:r>
    </w:p>
    <w:p w14:paraId="5F13509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An intermediate secure treatment provider serving youth shall maintain a staff-to-client ratio of one staff to every five clients.</w:t>
      </w:r>
    </w:p>
    <w:p w14:paraId="0307042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(3)  Each intermediate secure treatment provider shall ensure that each direct care staff working in an intermediate secure treatment program:</w:t>
      </w:r>
    </w:p>
    <w:p w14:paraId="3F36089B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is trained to work with a child with behavioral or mental health needs; and</w:t>
      </w:r>
    </w:p>
    <w:p w14:paraId="16F4F90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works under the supervision of a licensed clinical professional.</w:t>
      </w:r>
    </w:p>
    <w:p w14:paraId="4F016BE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(4)  Each intermediate secure treatment provider shall ensure each direct care staff completes 30 hours of additional training annually regarding:</w:t>
      </w:r>
    </w:p>
    <w:p w14:paraId="0495AD9A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client record and incident documentation;</w:t>
      </w:r>
    </w:p>
    <w:p w14:paraId="7D31AC4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client rules;</w:t>
      </w:r>
    </w:p>
    <w:p w14:paraId="75AA4C78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human relations and communication skills;</w:t>
      </w:r>
    </w:p>
    <w:p w14:paraId="21449866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maintaining staff, client, and visitor safety in a secure setting;</w:t>
      </w:r>
    </w:p>
    <w:p w14:paraId="5F973DD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lastRenderedPageBreak/>
        <w:tab/>
        <w:t>(e)  problem-solving and guidance;</w:t>
      </w:r>
    </w:p>
    <w:p w14:paraId="482B870B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(f)  the special needs of children and families; and</w:t>
      </w:r>
    </w:p>
    <w:p w14:paraId="48E87E1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(g)  universal precautions for blood-borne pathogens.</w:t>
      </w:r>
    </w:p>
    <w:p w14:paraId="1A3A5B67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(5)  Each intermediate secure treatment provider shall incorporate the use of fixtures and furnishings that help limit self-harm and suicide, including:</w:t>
      </w:r>
    </w:p>
    <w:p w14:paraId="4BD13B7C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non-exposed fire sprinkler heads;</w:t>
      </w:r>
    </w:p>
    <w:p w14:paraId="34E3DF4F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plexiglass or safety glass;</w:t>
      </w:r>
    </w:p>
    <w:p w14:paraId="24FABCAE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pressure release robe hooks;</w:t>
      </w:r>
    </w:p>
    <w:p w14:paraId="42253707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recessed lighting; and</w:t>
      </w:r>
    </w:p>
    <w:p w14:paraId="28BCDCE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(e)  sealed light fixtures.</w:t>
      </w:r>
    </w:p>
    <w:p w14:paraId="7072C608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7E240B60" w14:textId="0EF9F0B9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R501-19-6.  Specialized Services Required to Serve Clients Under the Division of Services for People with Disabilities.</w:t>
      </w:r>
    </w:p>
    <w:p w14:paraId="47D5666C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(1)  Each residential treatment provider serving a Division of Services for People with Disabilities (DSPD) client shall:</w:t>
      </w:r>
    </w:p>
    <w:p w14:paraId="60C7238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(a)  apply for any unearned income benefits for which the client is eligible, in conjunction with the support coordinator for DSPD and each client's parent or guardian;</w:t>
      </w:r>
    </w:p>
    <w:p w14:paraId="52AA301B" w14:textId="2594A0BB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(b)  develop and adhere to policies and procedures governing the daily operation and activity available and applicable to each client or visitor;</w:t>
      </w:r>
    </w:p>
    <w:p w14:paraId="66045BA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(c)  ensure the facility is located within a reasonable distance from a:</w:t>
      </w:r>
    </w:p>
    <w:p w14:paraId="503C88A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church;</w:t>
      </w:r>
    </w:p>
    <w:p w14:paraId="3D527177" w14:textId="51E6F043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(ii)  recreation or other community facility; and</w:t>
      </w:r>
    </w:p>
    <w:p w14:paraId="1ED7A81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(iii)  school;</w:t>
      </w:r>
    </w:p>
    <w:p w14:paraId="525752BD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(d)  maintain a record of any income and client service fee;</w:t>
      </w:r>
    </w:p>
    <w:p w14:paraId="7B0E1032" w14:textId="239C1B60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(e)  maintain a record of each fund deposited with the residential facility for client use;</w:t>
      </w:r>
    </w:p>
    <w:p w14:paraId="659051D0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(f)  maintain a list of each deposit and withdrawal;</w:t>
      </w:r>
    </w:p>
    <w:p w14:paraId="6C9F77F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(g)  maintain a receipt signed by the client and professional staff for any purchase over $20;</w:t>
      </w:r>
    </w:p>
    <w:p w14:paraId="3CC96185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(h)  maintain a record of each client's petty cash fund;</w:t>
      </w:r>
    </w:p>
    <w:p w14:paraId="14AF06A8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(i)  present each client with an individual plan that addresses appropriate day treatment;</w:t>
      </w:r>
    </w:p>
    <w:p w14:paraId="199F1E9F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(j)  share a monthly activity schedule with each client; and</w:t>
      </w:r>
    </w:p>
    <w:p w14:paraId="08666719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(k)  specify, in policy, the amount of time any non-client individual may stay as an overnight guest.</w:t>
      </w:r>
    </w:p>
    <w:p w14:paraId="5B8DD96F" w14:textId="36D2EDF8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(2)  If there is a conflict between this rule and the settings final rule, as defined in Rule R501-1, the settings final rule shall prevail.</w:t>
      </w:r>
    </w:p>
    <w:p w14:paraId="6BDB6FBB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5C5A552A" w14:textId="77777777" w:rsidR="00921310" w:rsidRPr="00EC5621" w:rsidRDefault="00921310" w:rsidP="00921310">
      <w:pPr>
        <w:widowControl/>
        <w:suppressAutoHyphens/>
        <w:rPr>
          <w:bCs/>
          <w:sz w:val="18"/>
          <w:szCs w:val="18"/>
        </w:rPr>
      </w:pPr>
      <w:r w:rsidRPr="00EC5621">
        <w:rPr>
          <w:b/>
          <w:bCs/>
          <w:sz w:val="18"/>
          <w:szCs w:val="18"/>
        </w:rPr>
        <w:t>R501-19-7.  Requirements for Granting Deemed Status to a Mental Health or Substance Use Disorder Treatment Program Site.</w:t>
      </w:r>
    </w:p>
    <w:p w14:paraId="10820C65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(1)  The department may grant deemed status to the site of a mental health or substance use disorder treatment program if:</w:t>
      </w:r>
    </w:p>
    <w:p w14:paraId="682233E3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(a)  the provider's license for the site is in good standing;</w:t>
      </w:r>
    </w:p>
    <w:p w14:paraId="032D8A53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(b)  the site only serves adults;</w:t>
      </w:r>
    </w:p>
    <w:p w14:paraId="05203320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(c)  the site is currently accredited from a department-approved national organization; and</w:t>
      </w:r>
    </w:p>
    <w:p w14:paraId="3F56031B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(d)  the provider submits the licensing documentation from the accrediting organization to the department, including any applicable:</w:t>
      </w:r>
    </w:p>
    <w:p w14:paraId="61C20148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(i)  inspection record;</w:t>
      </w:r>
    </w:p>
    <w:p w14:paraId="6AB819F2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(ii)  finding; and</w:t>
      </w:r>
    </w:p>
    <w:p w14:paraId="33C83D3E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(iii)  corrective action plan and a progress report on the site addressing any corrective action plan.</w:t>
      </w:r>
    </w:p>
    <w:p w14:paraId="23E255AE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(2)  A site with deemed status may opt out of a department renewal inspection.</w:t>
      </w:r>
    </w:p>
    <w:p w14:paraId="3CFDCC1A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(3)  The department may investigate any complaint or incident involving a deemed site.</w:t>
      </w:r>
    </w:p>
    <w:p w14:paraId="6F8BDDC1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(4)  The provider is responsible for any renewal licensing fee for each deemed site.</w:t>
      </w:r>
    </w:p>
    <w:p w14:paraId="63C72CEC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(5)  The department shall revoke the deemed site status if:</w:t>
      </w:r>
    </w:p>
    <w:p w14:paraId="6B1344A8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(a)   the site receives any moderate, high, or extreme noncompliance licensing violation from department;</w:t>
      </w:r>
    </w:p>
    <w:p w14:paraId="5D3DC296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(b)  the required accreditation documentation is not submitted to the department;</w:t>
      </w:r>
    </w:p>
    <w:p w14:paraId="255EE184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(c)  the accreditation documentation includes any noncompliance violation finding equal to any moderate, high, or extreme state licensing finding level; or</w:t>
      </w:r>
    </w:p>
    <w:p w14:paraId="43FE4372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(d)  the provider no longer receives national accreditation for the deemed site.</w:t>
      </w:r>
    </w:p>
    <w:p w14:paraId="0C6E32A0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(6)  For any provider with multiple deemed sites:</w:t>
      </w:r>
    </w:p>
    <w:p w14:paraId="7A98DF2A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(a)  each site must meet the requirements to be granted deemed status; and</w:t>
      </w:r>
    </w:p>
    <w:p w14:paraId="55B6538E" w14:textId="77777777" w:rsidR="00921310" w:rsidRPr="00EC5621" w:rsidRDefault="00921310" w:rsidP="00921310">
      <w:pPr>
        <w:widowControl/>
        <w:suppressAutoHyphens/>
        <w:rPr>
          <w:sz w:val="18"/>
          <w:szCs w:val="18"/>
        </w:rPr>
      </w:pPr>
      <w:r w:rsidRPr="00EC5621">
        <w:rPr>
          <w:sz w:val="18"/>
          <w:szCs w:val="18"/>
        </w:rPr>
        <w:tab/>
        <w:t>(b)  the revocation of deemed status for any single site does not impact the status of any other site unless any condition listed in Subsection (5) applies to the other site.</w:t>
      </w:r>
    </w:p>
    <w:p w14:paraId="4EB04DD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5CA645F5" w14:textId="5500107E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R501-19-8.  Compliance.</w:t>
      </w:r>
    </w:p>
    <w:p w14:paraId="71D6AB95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sz w:val="18"/>
          <w:szCs w:val="20"/>
        </w:rPr>
        <w:tab/>
        <w:t>Any person who violates this rule may be subject to the penalties in Rule R380-600 and Title 26B, Chapter 2, Part 7, Penalties and Investigations.</w:t>
      </w:r>
    </w:p>
    <w:p w14:paraId="53815C54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</w:p>
    <w:p w14:paraId="24BFDD41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lastRenderedPageBreak/>
        <w:t>KEY:  human services, licensing, residential treatment, congregate care</w:t>
      </w:r>
    </w:p>
    <w:p w14:paraId="6F97DF2D" w14:textId="7E85A3F6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 xml:space="preserve">Date of Last Change:  </w:t>
      </w:r>
      <w:r w:rsidR="00D46485" w:rsidRPr="00EC5621">
        <w:rPr>
          <w:b/>
          <w:sz w:val="18"/>
          <w:szCs w:val="20"/>
        </w:rPr>
        <w:t>January 26, 2026</w:t>
      </w:r>
    </w:p>
    <w:p w14:paraId="3059B603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Notice of Continuation:  February 28, 2025</w:t>
      </w:r>
    </w:p>
    <w:p w14:paraId="7CA863E2" w14:textId="77777777" w:rsidR="00921310" w:rsidRPr="00EC5621" w:rsidRDefault="00921310" w:rsidP="00921310">
      <w:pPr>
        <w:widowControl/>
        <w:suppressAutoHyphens/>
        <w:rPr>
          <w:sz w:val="18"/>
          <w:szCs w:val="20"/>
        </w:rPr>
      </w:pPr>
      <w:r w:rsidRPr="00EC5621">
        <w:rPr>
          <w:b/>
          <w:sz w:val="18"/>
          <w:szCs w:val="20"/>
        </w:rPr>
        <w:t>Authorizing, and Implemented or Interpreted Law:  26B-2-104; 26B-2-117</w:t>
      </w:r>
    </w:p>
    <w:p w14:paraId="630CCA4A" w14:textId="77777777" w:rsidR="00921310" w:rsidRPr="00EC5621" w:rsidRDefault="00921310" w:rsidP="00921310">
      <w:pPr>
        <w:widowControl/>
        <w:suppressAutoHyphens/>
        <w:rPr>
          <w:sz w:val="18"/>
        </w:rPr>
      </w:pPr>
    </w:p>
    <w:p w14:paraId="4AEF3C0E" w14:textId="30E2425F" w:rsidR="00615C62" w:rsidRPr="00EC5621" w:rsidRDefault="00615C62" w:rsidP="00921310">
      <w:pPr>
        <w:widowControl/>
        <w:suppressAutoHyphens/>
        <w:rPr>
          <w:sz w:val="18"/>
        </w:rPr>
      </w:pPr>
    </w:p>
    <w:sectPr w:rsidR="00615C62" w:rsidRPr="00EC5621" w:rsidSect="00EC5621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DC4E" w14:textId="77777777" w:rsidR="00C54E89" w:rsidRDefault="00C54E89" w:rsidP="00C17968">
      <w:r>
        <w:separator/>
      </w:r>
    </w:p>
  </w:endnote>
  <w:endnote w:type="continuationSeparator" w:id="0">
    <w:p w14:paraId="0B79237A" w14:textId="77777777" w:rsidR="00C54E89" w:rsidRDefault="00C54E89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77A2E" w14:textId="77777777" w:rsidR="00C54E89" w:rsidRDefault="00C54E89" w:rsidP="00C17968">
      <w:r>
        <w:separator/>
      </w:r>
    </w:p>
  </w:footnote>
  <w:footnote w:type="continuationSeparator" w:id="0">
    <w:p w14:paraId="1FB36689" w14:textId="77777777" w:rsidR="00C54E89" w:rsidRDefault="00C54E89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006AF"/>
    <w:multiLevelType w:val="hybridMultilevel"/>
    <w:tmpl w:val="6916EF06"/>
    <w:lvl w:ilvl="0" w:tplc="53263F0A">
      <w:start w:val="1"/>
      <w:numFmt w:val="lowerRoman"/>
      <w:lvlText w:val="%1)"/>
      <w:lvlJc w:val="right"/>
      <w:pPr>
        <w:ind w:left="1020" w:hanging="360"/>
      </w:pPr>
    </w:lvl>
    <w:lvl w:ilvl="1" w:tplc="AC7CABBE">
      <w:start w:val="1"/>
      <w:numFmt w:val="lowerRoman"/>
      <w:lvlText w:val="%2)"/>
      <w:lvlJc w:val="right"/>
      <w:pPr>
        <w:ind w:left="1020" w:hanging="360"/>
      </w:pPr>
    </w:lvl>
    <w:lvl w:ilvl="2" w:tplc="4D60BED2">
      <w:start w:val="1"/>
      <w:numFmt w:val="lowerRoman"/>
      <w:lvlText w:val="%3)"/>
      <w:lvlJc w:val="right"/>
      <w:pPr>
        <w:ind w:left="1020" w:hanging="360"/>
      </w:pPr>
    </w:lvl>
    <w:lvl w:ilvl="3" w:tplc="FE98A1B6">
      <w:start w:val="1"/>
      <w:numFmt w:val="lowerRoman"/>
      <w:lvlText w:val="%4)"/>
      <w:lvlJc w:val="right"/>
      <w:pPr>
        <w:ind w:left="1020" w:hanging="360"/>
      </w:pPr>
    </w:lvl>
    <w:lvl w:ilvl="4" w:tplc="4E72C59A">
      <w:start w:val="1"/>
      <w:numFmt w:val="lowerRoman"/>
      <w:lvlText w:val="%5)"/>
      <w:lvlJc w:val="right"/>
      <w:pPr>
        <w:ind w:left="1020" w:hanging="360"/>
      </w:pPr>
    </w:lvl>
    <w:lvl w:ilvl="5" w:tplc="5B041712">
      <w:start w:val="1"/>
      <w:numFmt w:val="lowerRoman"/>
      <w:lvlText w:val="%6)"/>
      <w:lvlJc w:val="right"/>
      <w:pPr>
        <w:ind w:left="1020" w:hanging="360"/>
      </w:pPr>
    </w:lvl>
    <w:lvl w:ilvl="6" w:tplc="9348BB58">
      <w:start w:val="1"/>
      <w:numFmt w:val="lowerRoman"/>
      <w:lvlText w:val="%7)"/>
      <w:lvlJc w:val="right"/>
      <w:pPr>
        <w:ind w:left="1020" w:hanging="360"/>
      </w:pPr>
    </w:lvl>
    <w:lvl w:ilvl="7" w:tplc="AF340CA4">
      <w:start w:val="1"/>
      <w:numFmt w:val="lowerRoman"/>
      <w:lvlText w:val="%8)"/>
      <w:lvlJc w:val="right"/>
      <w:pPr>
        <w:ind w:left="1020" w:hanging="360"/>
      </w:pPr>
    </w:lvl>
    <w:lvl w:ilvl="8" w:tplc="2CA63B7A">
      <w:start w:val="1"/>
      <w:numFmt w:val="lowerRoman"/>
      <w:lvlText w:val="%9)"/>
      <w:lvlJc w:val="right"/>
      <w:pPr>
        <w:ind w:left="1020" w:hanging="360"/>
      </w:pPr>
    </w:lvl>
  </w:abstractNum>
  <w:abstractNum w:abstractNumId="1" w15:restartNumberingAfterBreak="0">
    <w:nsid w:val="23AF2E11"/>
    <w:multiLevelType w:val="hybridMultilevel"/>
    <w:tmpl w:val="20247C5A"/>
    <w:lvl w:ilvl="0" w:tplc="25BAA6D8">
      <w:start w:val="1"/>
      <w:numFmt w:val="lowerRoman"/>
      <w:lvlText w:val="%1)"/>
      <w:lvlJc w:val="right"/>
      <w:pPr>
        <w:ind w:left="1020" w:hanging="360"/>
      </w:pPr>
    </w:lvl>
    <w:lvl w:ilvl="1" w:tplc="4E08F288">
      <w:start w:val="1"/>
      <w:numFmt w:val="lowerRoman"/>
      <w:lvlText w:val="%2)"/>
      <w:lvlJc w:val="right"/>
      <w:pPr>
        <w:ind w:left="1020" w:hanging="360"/>
      </w:pPr>
    </w:lvl>
    <w:lvl w:ilvl="2" w:tplc="FF2CF52C">
      <w:start w:val="1"/>
      <w:numFmt w:val="lowerRoman"/>
      <w:lvlText w:val="%3)"/>
      <w:lvlJc w:val="right"/>
      <w:pPr>
        <w:ind w:left="1020" w:hanging="360"/>
      </w:pPr>
    </w:lvl>
    <w:lvl w:ilvl="3" w:tplc="1C58DCA8">
      <w:start w:val="1"/>
      <w:numFmt w:val="lowerRoman"/>
      <w:lvlText w:val="%4)"/>
      <w:lvlJc w:val="right"/>
      <w:pPr>
        <w:ind w:left="1020" w:hanging="360"/>
      </w:pPr>
    </w:lvl>
    <w:lvl w:ilvl="4" w:tplc="C76296C4">
      <w:start w:val="1"/>
      <w:numFmt w:val="lowerRoman"/>
      <w:lvlText w:val="%5)"/>
      <w:lvlJc w:val="right"/>
      <w:pPr>
        <w:ind w:left="1020" w:hanging="360"/>
      </w:pPr>
    </w:lvl>
    <w:lvl w:ilvl="5" w:tplc="5A1416C6">
      <w:start w:val="1"/>
      <w:numFmt w:val="lowerRoman"/>
      <w:lvlText w:val="%6)"/>
      <w:lvlJc w:val="right"/>
      <w:pPr>
        <w:ind w:left="1020" w:hanging="360"/>
      </w:pPr>
    </w:lvl>
    <w:lvl w:ilvl="6" w:tplc="FD2AD34A">
      <w:start w:val="1"/>
      <w:numFmt w:val="lowerRoman"/>
      <w:lvlText w:val="%7)"/>
      <w:lvlJc w:val="right"/>
      <w:pPr>
        <w:ind w:left="1020" w:hanging="360"/>
      </w:pPr>
    </w:lvl>
    <w:lvl w:ilvl="7" w:tplc="5EAEB20A">
      <w:start w:val="1"/>
      <w:numFmt w:val="lowerRoman"/>
      <w:lvlText w:val="%8)"/>
      <w:lvlJc w:val="right"/>
      <w:pPr>
        <w:ind w:left="1020" w:hanging="360"/>
      </w:pPr>
    </w:lvl>
    <w:lvl w:ilvl="8" w:tplc="BB4E44D2">
      <w:start w:val="1"/>
      <w:numFmt w:val="lowerRoman"/>
      <w:lvlText w:val="%9)"/>
      <w:lvlJc w:val="right"/>
      <w:pPr>
        <w:ind w:left="1020" w:hanging="360"/>
      </w:pPr>
    </w:lvl>
  </w:abstractNum>
  <w:abstractNum w:abstractNumId="2" w15:restartNumberingAfterBreak="0">
    <w:nsid w:val="41995F99"/>
    <w:multiLevelType w:val="hybridMultilevel"/>
    <w:tmpl w:val="859E6172"/>
    <w:lvl w:ilvl="0" w:tplc="D884E260">
      <w:start w:val="1"/>
      <w:numFmt w:val="lowerRoman"/>
      <w:lvlText w:val="%1)"/>
      <w:lvlJc w:val="right"/>
      <w:pPr>
        <w:ind w:left="1020" w:hanging="360"/>
      </w:pPr>
    </w:lvl>
    <w:lvl w:ilvl="1" w:tplc="4198BF20">
      <w:start w:val="1"/>
      <w:numFmt w:val="lowerRoman"/>
      <w:lvlText w:val="%2)"/>
      <w:lvlJc w:val="right"/>
      <w:pPr>
        <w:ind w:left="1020" w:hanging="360"/>
      </w:pPr>
    </w:lvl>
    <w:lvl w:ilvl="2" w:tplc="C3E6E8FC">
      <w:start w:val="1"/>
      <w:numFmt w:val="lowerRoman"/>
      <w:lvlText w:val="%3)"/>
      <w:lvlJc w:val="right"/>
      <w:pPr>
        <w:ind w:left="1020" w:hanging="360"/>
      </w:pPr>
    </w:lvl>
    <w:lvl w:ilvl="3" w:tplc="D3DC159C">
      <w:start w:val="1"/>
      <w:numFmt w:val="lowerRoman"/>
      <w:lvlText w:val="%4)"/>
      <w:lvlJc w:val="right"/>
      <w:pPr>
        <w:ind w:left="1020" w:hanging="360"/>
      </w:pPr>
    </w:lvl>
    <w:lvl w:ilvl="4" w:tplc="60A27AE6">
      <w:start w:val="1"/>
      <w:numFmt w:val="lowerRoman"/>
      <w:lvlText w:val="%5)"/>
      <w:lvlJc w:val="right"/>
      <w:pPr>
        <w:ind w:left="1020" w:hanging="360"/>
      </w:pPr>
    </w:lvl>
    <w:lvl w:ilvl="5" w:tplc="54B4104A">
      <w:start w:val="1"/>
      <w:numFmt w:val="lowerRoman"/>
      <w:lvlText w:val="%6)"/>
      <w:lvlJc w:val="right"/>
      <w:pPr>
        <w:ind w:left="1020" w:hanging="360"/>
      </w:pPr>
    </w:lvl>
    <w:lvl w:ilvl="6" w:tplc="2D800042">
      <w:start w:val="1"/>
      <w:numFmt w:val="lowerRoman"/>
      <w:lvlText w:val="%7)"/>
      <w:lvlJc w:val="right"/>
      <w:pPr>
        <w:ind w:left="1020" w:hanging="360"/>
      </w:pPr>
    </w:lvl>
    <w:lvl w:ilvl="7" w:tplc="659685D0">
      <w:start w:val="1"/>
      <w:numFmt w:val="lowerRoman"/>
      <w:lvlText w:val="%8)"/>
      <w:lvlJc w:val="right"/>
      <w:pPr>
        <w:ind w:left="1020" w:hanging="360"/>
      </w:pPr>
    </w:lvl>
    <w:lvl w:ilvl="8" w:tplc="203C1FD6">
      <w:start w:val="1"/>
      <w:numFmt w:val="lowerRoman"/>
      <w:lvlText w:val="%9)"/>
      <w:lvlJc w:val="right"/>
      <w:pPr>
        <w:ind w:left="1020" w:hanging="360"/>
      </w:pPr>
    </w:lvl>
  </w:abstractNum>
  <w:num w:numId="1" w16cid:durableId="391855615">
    <w:abstractNumId w:val="0"/>
  </w:num>
  <w:num w:numId="2" w16cid:durableId="1772972193">
    <w:abstractNumId w:val="2"/>
  </w:num>
  <w:num w:numId="3" w16cid:durableId="1125344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0A21"/>
    <w:rsid w:val="00000B24"/>
    <w:rsid w:val="000038FB"/>
    <w:rsid w:val="0000533D"/>
    <w:rsid w:val="00005A14"/>
    <w:rsid w:val="000069A9"/>
    <w:rsid w:val="00006DF6"/>
    <w:rsid w:val="00013FDC"/>
    <w:rsid w:val="00015E34"/>
    <w:rsid w:val="00021500"/>
    <w:rsid w:val="00027A64"/>
    <w:rsid w:val="00030D5F"/>
    <w:rsid w:val="0003198B"/>
    <w:rsid w:val="00034C54"/>
    <w:rsid w:val="0003665D"/>
    <w:rsid w:val="000419A5"/>
    <w:rsid w:val="0004463B"/>
    <w:rsid w:val="00050AB6"/>
    <w:rsid w:val="00051473"/>
    <w:rsid w:val="000550AF"/>
    <w:rsid w:val="0005628D"/>
    <w:rsid w:val="00056668"/>
    <w:rsid w:val="00060995"/>
    <w:rsid w:val="0006306B"/>
    <w:rsid w:val="00067746"/>
    <w:rsid w:val="00070A98"/>
    <w:rsid w:val="00071DB9"/>
    <w:rsid w:val="0007413E"/>
    <w:rsid w:val="00074E14"/>
    <w:rsid w:val="00083289"/>
    <w:rsid w:val="00083BAD"/>
    <w:rsid w:val="00086A4C"/>
    <w:rsid w:val="00092147"/>
    <w:rsid w:val="00092D64"/>
    <w:rsid w:val="00094789"/>
    <w:rsid w:val="000951EE"/>
    <w:rsid w:val="000A06B7"/>
    <w:rsid w:val="000A3042"/>
    <w:rsid w:val="000A4085"/>
    <w:rsid w:val="000A5EAE"/>
    <w:rsid w:val="000A63C1"/>
    <w:rsid w:val="000B0C8F"/>
    <w:rsid w:val="000B5EF8"/>
    <w:rsid w:val="000C30C1"/>
    <w:rsid w:val="000C3766"/>
    <w:rsid w:val="000C3C78"/>
    <w:rsid w:val="000C753C"/>
    <w:rsid w:val="000D1F07"/>
    <w:rsid w:val="000D42C5"/>
    <w:rsid w:val="000D47B6"/>
    <w:rsid w:val="000D6E9E"/>
    <w:rsid w:val="000E074A"/>
    <w:rsid w:val="000E4C9B"/>
    <w:rsid w:val="000E6751"/>
    <w:rsid w:val="000E7B19"/>
    <w:rsid w:val="000E7CDD"/>
    <w:rsid w:val="000F2028"/>
    <w:rsid w:val="000F49E3"/>
    <w:rsid w:val="00101C1B"/>
    <w:rsid w:val="00101FCF"/>
    <w:rsid w:val="0010261E"/>
    <w:rsid w:val="00102786"/>
    <w:rsid w:val="00102BB0"/>
    <w:rsid w:val="00104AC3"/>
    <w:rsid w:val="00105DAF"/>
    <w:rsid w:val="001135E4"/>
    <w:rsid w:val="001138B7"/>
    <w:rsid w:val="00113BB3"/>
    <w:rsid w:val="00123B89"/>
    <w:rsid w:val="00127AB1"/>
    <w:rsid w:val="00130249"/>
    <w:rsid w:val="001304E9"/>
    <w:rsid w:val="00133F0A"/>
    <w:rsid w:val="00135EC6"/>
    <w:rsid w:val="00136C69"/>
    <w:rsid w:val="00136E6B"/>
    <w:rsid w:val="00140B4F"/>
    <w:rsid w:val="00140F86"/>
    <w:rsid w:val="00144275"/>
    <w:rsid w:val="001447C5"/>
    <w:rsid w:val="00151955"/>
    <w:rsid w:val="00151B36"/>
    <w:rsid w:val="00154228"/>
    <w:rsid w:val="001579B5"/>
    <w:rsid w:val="00161242"/>
    <w:rsid w:val="00162FE1"/>
    <w:rsid w:val="001659D6"/>
    <w:rsid w:val="00170F44"/>
    <w:rsid w:val="001745AA"/>
    <w:rsid w:val="001769DF"/>
    <w:rsid w:val="0018100B"/>
    <w:rsid w:val="0018267C"/>
    <w:rsid w:val="00184767"/>
    <w:rsid w:val="001863CA"/>
    <w:rsid w:val="00192ED7"/>
    <w:rsid w:val="00193BED"/>
    <w:rsid w:val="001959A4"/>
    <w:rsid w:val="00197144"/>
    <w:rsid w:val="00197329"/>
    <w:rsid w:val="00197C9B"/>
    <w:rsid w:val="001A7780"/>
    <w:rsid w:val="001B1B40"/>
    <w:rsid w:val="001B7726"/>
    <w:rsid w:val="001C3DAB"/>
    <w:rsid w:val="001C4CEB"/>
    <w:rsid w:val="001C74ED"/>
    <w:rsid w:val="001D1A8C"/>
    <w:rsid w:val="001D45E8"/>
    <w:rsid w:val="001E512E"/>
    <w:rsid w:val="001E5B9B"/>
    <w:rsid w:val="001F0CB6"/>
    <w:rsid w:val="001F49C4"/>
    <w:rsid w:val="001F59D9"/>
    <w:rsid w:val="001F78BA"/>
    <w:rsid w:val="00200E94"/>
    <w:rsid w:val="00210E2C"/>
    <w:rsid w:val="00214BA0"/>
    <w:rsid w:val="00222812"/>
    <w:rsid w:val="00223AFA"/>
    <w:rsid w:val="00250B69"/>
    <w:rsid w:val="00252163"/>
    <w:rsid w:val="00253C3B"/>
    <w:rsid w:val="00256032"/>
    <w:rsid w:val="00256625"/>
    <w:rsid w:val="00256643"/>
    <w:rsid w:val="0025687E"/>
    <w:rsid w:val="002639EB"/>
    <w:rsid w:val="00266359"/>
    <w:rsid w:val="0027195A"/>
    <w:rsid w:val="00272D20"/>
    <w:rsid w:val="0028263F"/>
    <w:rsid w:val="00282CAA"/>
    <w:rsid w:val="00291AD0"/>
    <w:rsid w:val="00291CEB"/>
    <w:rsid w:val="00291DCA"/>
    <w:rsid w:val="00292B1A"/>
    <w:rsid w:val="002946F0"/>
    <w:rsid w:val="002947D1"/>
    <w:rsid w:val="00295251"/>
    <w:rsid w:val="00296B2B"/>
    <w:rsid w:val="00297523"/>
    <w:rsid w:val="002A23B7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D63FF"/>
    <w:rsid w:val="002E2975"/>
    <w:rsid w:val="002E6F38"/>
    <w:rsid w:val="002F45BF"/>
    <w:rsid w:val="00304149"/>
    <w:rsid w:val="00305124"/>
    <w:rsid w:val="003121D3"/>
    <w:rsid w:val="00313504"/>
    <w:rsid w:val="00315744"/>
    <w:rsid w:val="00316A41"/>
    <w:rsid w:val="003217E6"/>
    <w:rsid w:val="003345EA"/>
    <w:rsid w:val="003357FE"/>
    <w:rsid w:val="00335956"/>
    <w:rsid w:val="0033622C"/>
    <w:rsid w:val="00342459"/>
    <w:rsid w:val="003470A9"/>
    <w:rsid w:val="00351E76"/>
    <w:rsid w:val="00363AE8"/>
    <w:rsid w:val="00371AF1"/>
    <w:rsid w:val="00372084"/>
    <w:rsid w:val="003738D9"/>
    <w:rsid w:val="00373FE5"/>
    <w:rsid w:val="0038009C"/>
    <w:rsid w:val="0038039E"/>
    <w:rsid w:val="00380D52"/>
    <w:rsid w:val="003811E6"/>
    <w:rsid w:val="00384EB4"/>
    <w:rsid w:val="00385043"/>
    <w:rsid w:val="003A38D0"/>
    <w:rsid w:val="003A519E"/>
    <w:rsid w:val="003B3853"/>
    <w:rsid w:val="003B540F"/>
    <w:rsid w:val="003B6116"/>
    <w:rsid w:val="003B62E0"/>
    <w:rsid w:val="003B7041"/>
    <w:rsid w:val="003C2220"/>
    <w:rsid w:val="003D04C3"/>
    <w:rsid w:val="003D11EF"/>
    <w:rsid w:val="003D1752"/>
    <w:rsid w:val="003D3B77"/>
    <w:rsid w:val="003D4243"/>
    <w:rsid w:val="003D601B"/>
    <w:rsid w:val="003D690C"/>
    <w:rsid w:val="003D7EDC"/>
    <w:rsid w:val="003E13A0"/>
    <w:rsid w:val="003E2F8B"/>
    <w:rsid w:val="003E6785"/>
    <w:rsid w:val="003F61E1"/>
    <w:rsid w:val="003F64A7"/>
    <w:rsid w:val="003F6A4F"/>
    <w:rsid w:val="00400B10"/>
    <w:rsid w:val="00402912"/>
    <w:rsid w:val="00403755"/>
    <w:rsid w:val="0040461A"/>
    <w:rsid w:val="00414E0D"/>
    <w:rsid w:val="00420D0A"/>
    <w:rsid w:val="00423E07"/>
    <w:rsid w:val="00430473"/>
    <w:rsid w:val="00431C77"/>
    <w:rsid w:val="0043274F"/>
    <w:rsid w:val="0043419E"/>
    <w:rsid w:val="00436B3A"/>
    <w:rsid w:val="004423A3"/>
    <w:rsid w:val="00450F03"/>
    <w:rsid w:val="0045285A"/>
    <w:rsid w:val="00452B2A"/>
    <w:rsid w:val="004575F1"/>
    <w:rsid w:val="00457B35"/>
    <w:rsid w:val="00462360"/>
    <w:rsid w:val="00463446"/>
    <w:rsid w:val="00465A08"/>
    <w:rsid w:val="00471CCD"/>
    <w:rsid w:val="0047621B"/>
    <w:rsid w:val="004803F6"/>
    <w:rsid w:val="004A031A"/>
    <w:rsid w:val="004B7F3B"/>
    <w:rsid w:val="004C20EA"/>
    <w:rsid w:val="004C2851"/>
    <w:rsid w:val="004C4015"/>
    <w:rsid w:val="004C74B6"/>
    <w:rsid w:val="004D328F"/>
    <w:rsid w:val="004D6568"/>
    <w:rsid w:val="004F4891"/>
    <w:rsid w:val="004F7F64"/>
    <w:rsid w:val="00503322"/>
    <w:rsid w:val="00504585"/>
    <w:rsid w:val="00505F2C"/>
    <w:rsid w:val="00507ABD"/>
    <w:rsid w:val="00516E14"/>
    <w:rsid w:val="00523940"/>
    <w:rsid w:val="0052397A"/>
    <w:rsid w:val="00523CDE"/>
    <w:rsid w:val="00526D7A"/>
    <w:rsid w:val="00530288"/>
    <w:rsid w:val="0053030F"/>
    <w:rsid w:val="00532409"/>
    <w:rsid w:val="005429B8"/>
    <w:rsid w:val="00542EA4"/>
    <w:rsid w:val="00543B66"/>
    <w:rsid w:val="00546A69"/>
    <w:rsid w:val="00547427"/>
    <w:rsid w:val="00550F3B"/>
    <w:rsid w:val="00551480"/>
    <w:rsid w:val="00554A74"/>
    <w:rsid w:val="005556D4"/>
    <w:rsid w:val="005565EF"/>
    <w:rsid w:val="00562B4A"/>
    <w:rsid w:val="00563DBC"/>
    <w:rsid w:val="00566667"/>
    <w:rsid w:val="0057045F"/>
    <w:rsid w:val="005704DC"/>
    <w:rsid w:val="0057263E"/>
    <w:rsid w:val="005732E8"/>
    <w:rsid w:val="00574132"/>
    <w:rsid w:val="00580659"/>
    <w:rsid w:val="005814B2"/>
    <w:rsid w:val="00583378"/>
    <w:rsid w:val="0058540D"/>
    <w:rsid w:val="00585921"/>
    <w:rsid w:val="005879FB"/>
    <w:rsid w:val="00587A00"/>
    <w:rsid w:val="0059092E"/>
    <w:rsid w:val="00590D6C"/>
    <w:rsid w:val="00594E8B"/>
    <w:rsid w:val="00595D04"/>
    <w:rsid w:val="005960C4"/>
    <w:rsid w:val="005A3863"/>
    <w:rsid w:val="005A463F"/>
    <w:rsid w:val="005A4BD3"/>
    <w:rsid w:val="005A6E0E"/>
    <w:rsid w:val="005A7398"/>
    <w:rsid w:val="005B4EE0"/>
    <w:rsid w:val="005B690B"/>
    <w:rsid w:val="005C024A"/>
    <w:rsid w:val="005C1324"/>
    <w:rsid w:val="005C6450"/>
    <w:rsid w:val="005D664D"/>
    <w:rsid w:val="005D674B"/>
    <w:rsid w:val="005D6A7E"/>
    <w:rsid w:val="005F32CD"/>
    <w:rsid w:val="005F6B28"/>
    <w:rsid w:val="005F7305"/>
    <w:rsid w:val="00615C62"/>
    <w:rsid w:val="00617D1E"/>
    <w:rsid w:val="0062068B"/>
    <w:rsid w:val="00621432"/>
    <w:rsid w:val="00624D9F"/>
    <w:rsid w:val="00626901"/>
    <w:rsid w:val="00626C9D"/>
    <w:rsid w:val="00631708"/>
    <w:rsid w:val="00631C68"/>
    <w:rsid w:val="0063666C"/>
    <w:rsid w:val="00640E6A"/>
    <w:rsid w:val="006431BE"/>
    <w:rsid w:val="00646433"/>
    <w:rsid w:val="00646E1C"/>
    <w:rsid w:val="00652D10"/>
    <w:rsid w:val="006604BD"/>
    <w:rsid w:val="006661C3"/>
    <w:rsid w:val="006667C3"/>
    <w:rsid w:val="00666F93"/>
    <w:rsid w:val="00670012"/>
    <w:rsid w:val="0067604E"/>
    <w:rsid w:val="00676FF2"/>
    <w:rsid w:val="00677205"/>
    <w:rsid w:val="00681A92"/>
    <w:rsid w:val="00682427"/>
    <w:rsid w:val="00685F3C"/>
    <w:rsid w:val="0069040D"/>
    <w:rsid w:val="00690DD4"/>
    <w:rsid w:val="00692B65"/>
    <w:rsid w:val="006936DF"/>
    <w:rsid w:val="00694E44"/>
    <w:rsid w:val="00697C22"/>
    <w:rsid w:val="006A3805"/>
    <w:rsid w:val="006A3F24"/>
    <w:rsid w:val="006A7D14"/>
    <w:rsid w:val="006B70AF"/>
    <w:rsid w:val="006C202D"/>
    <w:rsid w:val="006C4CEF"/>
    <w:rsid w:val="006C6C6D"/>
    <w:rsid w:val="006D167F"/>
    <w:rsid w:val="006D1FD5"/>
    <w:rsid w:val="006E1B83"/>
    <w:rsid w:val="006E5B0A"/>
    <w:rsid w:val="006E6057"/>
    <w:rsid w:val="006E7868"/>
    <w:rsid w:val="006F2A6E"/>
    <w:rsid w:val="00701A38"/>
    <w:rsid w:val="00703DB5"/>
    <w:rsid w:val="007047A1"/>
    <w:rsid w:val="007048EC"/>
    <w:rsid w:val="00713104"/>
    <w:rsid w:val="0071505B"/>
    <w:rsid w:val="00715301"/>
    <w:rsid w:val="00716F7B"/>
    <w:rsid w:val="007212D3"/>
    <w:rsid w:val="007231FC"/>
    <w:rsid w:val="007236A5"/>
    <w:rsid w:val="00723BDF"/>
    <w:rsid w:val="00736DC2"/>
    <w:rsid w:val="00741B7E"/>
    <w:rsid w:val="00743B04"/>
    <w:rsid w:val="00745324"/>
    <w:rsid w:val="00747437"/>
    <w:rsid w:val="00753C35"/>
    <w:rsid w:val="007613A6"/>
    <w:rsid w:val="007613E9"/>
    <w:rsid w:val="007622C4"/>
    <w:rsid w:val="00762BDA"/>
    <w:rsid w:val="0076330C"/>
    <w:rsid w:val="00764DE0"/>
    <w:rsid w:val="00772653"/>
    <w:rsid w:val="00774A0D"/>
    <w:rsid w:val="007769E4"/>
    <w:rsid w:val="00781398"/>
    <w:rsid w:val="00790B49"/>
    <w:rsid w:val="00792CFC"/>
    <w:rsid w:val="00793010"/>
    <w:rsid w:val="0079473C"/>
    <w:rsid w:val="007959DF"/>
    <w:rsid w:val="00795D41"/>
    <w:rsid w:val="00795E95"/>
    <w:rsid w:val="00796945"/>
    <w:rsid w:val="00796BA5"/>
    <w:rsid w:val="0079794C"/>
    <w:rsid w:val="007A1FEA"/>
    <w:rsid w:val="007A4656"/>
    <w:rsid w:val="007A4D6B"/>
    <w:rsid w:val="007A6137"/>
    <w:rsid w:val="007B6C82"/>
    <w:rsid w:val="007C5D3B"/>
    <w:rsid w:val="007C66C3"/>
    <w:rsid w:val="007D0B87"/>
    <w:rsid w:val="007D1F9D"/>
    <w:rsid w:val="007D47E7"/>
    <w:rsid w:val="007E457A"/>
    <w:rsid w:val="007F6988"/>
    <w:rsid w:val="00804D34"/>
    <w:rsid w:val="00805D06"/>
    <w:rsid w:val="008077EE"/>
    <w:rsid w:val="00807BB1"/>
    <w:rsid w:val="00820328"/>
    <w:rsid w:val="00822DB6"/>
    <w:rsid w:val="00825DD6"/>
    <w:rsid w:val="00826E3E"/>
    <w:rsid w:val="008315F8"/>
    <w:rsid w:val="00835660"/>
    <w:rsid w:val="0084069F"/>
    <w:rsid w:val="00840B24"/>
    <w:rsid w:val="00844B36"/>
    <w:rsid w:val="00852353"/>
    <w:rsid w:val="0085485F"/>
    <w:rsid w:val="008626C8"/>
    <w:rsid w:val="008637F2"/>
    <w:rsid w:val="0086395D"/>
    <w:rsid w:val="00864BF4"/>
    <w:rsid w:val="00866515"/>
    <w:rsid w:val="008705CB"/>
    <w:rsid w:val="00870B5B"/>
    <w:rsid w:val="00872C04"/>
    <w:rsid w:val="008829AB"/>
    <w:rsid w:val="00885DDE"/>
    <w:rsid w:val="008874D2"/>
    <w:rsid w:val="00890276"/>
    <w:rsid w:val="00890A1F"/>
    <w:rsid w:val="00890A38"/>
    <w:rsid w:val="00895860"/>
    <w:rsid w:val="008A1BEB"/>
    <w:rsid w:val="008A405B"/>
    <w:rsid w:val="008A55BF"/>
    <w:rsid w:val="008B0B8A"/>
    <w:rsid w:val="008C5441"/>
    <w:rsid w:val="008D6C4B"/>
    <w:rsid w:val="008E7D98"/>
    <w:rsid w:val="008E7D9B"/>
    <w:rsid w:val="008F2A12"/>
    <w:rsid w:val="008F5560"/>
    <w:rsid w:val="008F628A"/>
    <w:rsid w:val="008F7ECB"/>
    <w:rsid w:val="009120D1"/>
    <w:rsid w:val="009174AF"/>
    <w:rsid w:val="00921310"/>
    <w:rsid w:val="00921FDE"/>
    <w:rsid w:val="009226D8"/>
    <w:rsid w:val="00922D61"/>
    <w:rsid w:val="009279FD"/>
    <w:rsid w:val="009350F6"/>
    <w:rsid w:val="009510CD"/>
    <w:rsid w:val="009511A8"/>
    <w:rsid w:val="00951C69"/>
    <w:rsid w:val="0095585E"/>
    <w:rsid w:val="00962B67"/>
    <w:rsid w:val="00964E49"/>
    <w:rsid w:val="00964F8C"/>
    <w:rsid w:val="00966709"/>
    <w:rsid w:val="00985693"/>
    <w:rsid w:val="00986B62"/>
    <w:rsid w:val="00993705"/>
    <w:rsid w:val="0099724C"/>
    <w:rsid w:val="009A03FC"/>
    <w:rsid w:val="009A128A"/>
    <w:rsid w:val="009A2712"/>
    <w:rsid w:val="009A2A78"/>
    <w:rsid w:val="009A41CA"/>
    <w:rsid w:val="009A4D73"/>
    <w:rsid w:val="009A4FA1"/>
    <w:rsid w:val="009B0A97"/>
    <w:rsid w:val="009B196E"/>
    <w:rsid w:val="009B5790"/>
    <w:rsid w:val="009B78A9"/>
    <w:rsid w:val="009C0017"/>
    <w:rsid w:val="009C2A6A"/>
    <w:rsid w:val="009C5FEE"/>
    <w:rsid w:val="009D34B6"/>
    <w:rsid w:val="009D7716"/>
    <w:rsid w:val="009E5ABD"/>
    <w:rsid w:val="009E75B1"/>
    <w:rsid w:val="009F0DEE"/>
    <w:rsid w:val="009F539A"/>
    <w:rsid w:val="00A00B0A"/>
    <w:rsid w:val="00A0145C"/>
    <w:rsid w:val="00A07919"/>
    <w:rsid w:val="00A12580"/>
    <w:rsid w:val="00A17E9E"/>
    <w:rsid w:val="00A2194C"/>
    <w:rsid w:val="00A2684B"/>
    <w:rsid w:val="00A27947"/>
    <w:rsid w:val="00A41AE0"/>
    <w:rsid w:val="00A41D37"/>
    <w:rsid w:val="00A44F17"/>
    <w:rsid w:val="00A47F22"/>
    <w:rsid w:val="00A52209"/>
    <w:rsid w:val="00A52483"/>
    <w:rsid w:val="00A53B3A"/>
    <w:rsid w:val="00A570DC"/>
    <w:rsid w:val="00A6312E"/>
    <w:rsid w:val="00A75015"/>
    <w:rsid w:val="00A770E6"/>
    <w:rsid w:val="00A771CE"/>
    <w:rsid w:val="00A80EEF"/>
    <w:rsid w:val="00A816CD"/>
    <w:rsid w:val="00A84A14"/>
    <w:rsid w:val="00A8671B"/>
    <w:rsid w:val="00A9123F"/>
    <w:rsid w:val="00A93EFE"/>
    <w:rsid w:val="00A968B8"/>
    <w:rsid w:val="00AA0919"/>
    <w:rsid w:val="00AA4CAB"/>
    <w:rsid w:val="00AA649A"/>
    <w:rsid w:val="00AA7E32"/>
    <w:rsid w:val="00AB0BE0"/>
    <w:rsid w:val="00AB5714"/>
    <w:rsid w:val="00AB5DBF"/>
    <w:rsid w:val="00AB7F30"/>
    <w:rsid w:val="00AC2734"/>
    <w:rsid w:val="00AC56FF"/>
    <w:rsid w:val="00AC60A3"/>
    <w:rsid w:val="00AD59F9"/>
    <w:rsid w:val="00AD5BF8"/>
    <w:rsid w:val="00AD7E5A"/>
    <w:rsid w:val="00AF1519"/>
    <w:rsid w:val="00AF5A5C"/>
    <w:rsid w:val="00B0160D"/>
    <w:rsid w:val="00B02C04"/>
    <w:rsid w:val="00B05550"/>
    <w:rsid w:val="00B132A1"/>
    <w:rsid w:val="00B1423E"/>
    <w:rsid w:val="00B21B05"/>
    <w:rsid w:val="00B33858"/>
    <w:rsid w:val="00B34935"/>
    <w:rsid w:val="00B35CB4"/>
    <w:rsid w:val="00B36D9A"/>
    <w:rsid w:val="00B41350"/>
    <w:rsid w:val="00B41A6C"/>
    <w:rsid w:val="00B421D8"/>
    <w:rsid w:val="00B46B39"/>
    <w:rsid w:val="00B535B4"/>
    <w:rsid w:val="00B606F6"/>
    <w:rsid w:val="00B61024"/>
    <w:rsid w:val="00B62A8D"/>
    <w:rsid w:val="00B63442"/>
    <w:rsid w:val="00B67C05"/>
    <w:rsid w:val="00B90B4E"/>
    <w:rsid w:val="00B927D5"/>
    <w:rsid w:val="00B95C6D"/>
    <w:rsid w:val="00B974B0"/>
    <w:rsid w:val="00B978B2"/>
    <w:rsid w:val="00BB1318"/>
    <w:rsid w:val="00BB30F4"/>
    <w:rsid w:val="00BC5E52"/>
    <w:rsid w:val="00BD38D5"/>
    <w:rsid w:val="00BD75E6"/>
    <w:rsid w:val="00BE00E0"/>
    <w:rsid w:val="00BE1C4F"/>
    <w:rsid w:val="00BE6E0F"/>
    <w:rsid w:val="00BF065C"/>
    <w:rsid w:val="00BF19B5"/>
    <w:rsid w:val="00BF1E48"/>
    <w:rsid w:val="00BF2EB5"/>
    <w:rsid w:val="00BF365E"/>
    <w:rsid w:val="00C00C30"/>
    <w:rsid w:val="00C0140F"/>
    <w:rsid w:val="00C0529D"/>
    <w:rsid w:val="00C06389"/>
    <w:rsid w:val="00C07C48"/>
    <w:rsid w:val="00C13CD1"/>
    <w:rsid w:val="00C16A15"/>
    <w:rsid w:val="00C17425"/>
    <w:rsid w:val="00C17968"/>
    <w:rsid w:val="00C17B64"/>
    <w:rsid w:val="00C2383B"/>
    <w:rsid w:val="00C23C18"/>
    <w:rsid w:val="00C23C46"/>
    <w:rsid w:val="00C30783"/>
    <w:rsid w:val="00C339A4"/>
    <w:rsid w:val="00C41D0D"/>
    <w:rsid w:val="00C41EBB"/>
    <w:rsid w:val="00C4256B"/>
    <w:rsid w:val="00C42A03"/>
    <w:rsid w:val="00C45201"/>
    <w:rsid w:val="00C475B6"/>
    <w:rsid w:val="00C54E89"/>
    <w:rsid w:val="00C65850"/>
    <w:rsid w:val="00C65962"/>
    <w:rsid w:val="00C7075A"/>
    <w:rsid w:val="00C713BB"/>
    <w:rsid w:val="00C71AAC"/>
    <w:rsid w:val="00C7254D"/>
    <w:rsid w:val="00C72635"/>
    <w:rsid w:val="00C7756C"/>
    <w:rsid w:val="00C864C3"/>
    <w:rsid w:val="00C93ABB"/>
    <w:rsid w:val="00C96448"/>
    <w:rsid w:val="00CA1577"/>
    <w:rsid w:val="00CA1FF5"/>
    <w:rsid w:val="00CA2A17"/>
    <w:rsid w:val="00CA4226"/>
    <w:rsid w:val="00CA4306"/>
    <w:rsid w:val="00CA642C"/>
    <w:rsid w:val="00CB214B"/>
    <w:rsid w:val="00CB7C6C"/>
    <w:rsid w:val="00CC0414"/>
    <w:rsid w:val="00CC1DE2"/>
    <w:rsid w:val="00CC2F8D"/>
    <w:rsid w:val="00CC7C00"/>
    <w:rsid w:val="00CD4FD3"/>
    <w:rsid w:val="00CD7FD5"/>
    <w:rsid w:val="00CE2CC0"/>
    <w:rsid w:val="00CE4429"/>
    <w:rsid w:val="00CE4EB2"/>
    <w:rsid w:val="00CE59F6"/>
    <w:rsid w:val="00CF0B98"/>
    <w:rsid w:val="00CF36B3"/>
    <w:rsid w:val="00CF40CF"/>
    <w:rsid w:val="00CF7A5E"/>
    <w:rsid w:val="00D01884"/>
    <w:rsid w:val="00D04355"/>
    <w:rsid w:val="00D06A99"/>
    <w:rsid w:val="00D11080"/>
    <w:rsid w:val="00D127A3"/>
    <w:rsid w:val="00D13EC4"/>
    <w:rsid w:val="00D17C88"/>
    <w:rsid w:val="00D222F2"/>
    <w:rsid w:val="00D22416"/>
    <w:rsid w:val="00D2400F"/>
    <w:rsid w:val="00D263DE"/>
    <w:rsid w:val="00D26D4A"/>
    <w:rsid w:val="00D2763B"/>
    <w:rsid w:val="00D31690"/>
    <w:rsid w:val="00D330D2"/>
    <w:rsid w:val="00D41554"/>
    <w:rsid w:val="00D41ABA"/>
    <w:rsid w:val="00D4425B"/>
    <w:rsid w:val="00D46485"/>
    <w:rsid w:val="00D62ACB"/>
    <w:rsid w:val="00D66564"/>
    <w:rsid w:val="00D6747C"/>
    <w:rsid w:val="00D6785E"/>
    <w:rsid w:val="00D7002A"/>
    <w:rsid w:val="00D71636"/>
    <w:rsid w:val="00D74061"/>
    <w:rsid w:val="00D76607"/>
    <w:rsid w:val="00D7747A"/>
    <w:rsid w:val="00D86507"/>
    <w:rsid w:val="00D8763C"/>
    <w:rsid w:val="00D936A1"/>
    <w:rsid w:val="00D96075"/>
    <w:rsid w:val="00D97919"/>
    <w:rsid w:val="00DA0A63"/>
    <w:rsid w:val="00DA2A14"/>
    <w:rsid w:val="00DA6D1D"/>
    <w:rsid w:val="00DA783E"/>
    <w:rsid w:val="00DB3AE0"/>
    <w:rsid w:val="00DC0B97"/>
    <w:rsid w:val="00DC1529"/>
    <w:rsid w:val="00DC51B5"/>
    <w:rsid w:val="00DD0F33"/>
    <w:rsid w:val="00DE3F3E"/>
    <w:rsid w:val="00DE4AAB"/>
    <w:rsid w:val="00DE6905"/>
    <w:rsid w:val="00DF781E"/>
    <w:rsid w:val="00E04B5D"/>
    <w:rsid w:val="00E06657"/>
    <w:rsid w:val="00E12901"/>
    <w:rsid w:val="00E14AA7"/>
    <w:rsid w:val="00E1514C"/>
    <w:rsid w:val="00E2296E"/>
    <w:rsid w:val="00E23A0A"/>
    <w:rsid w:val="00E33057"/>
    <w:rsid w:val="00E33275"/>
    <w:rsid w:val="00E373E2"/>
    <w:rsid w:val="00E4450C"/>
    <w:rsid w:val="00E52C8D"/>
    <w:rsid w:val="00E536BE"/>
    <w:rsid w:val="00E557EC"/>
    <w:rsid w:val="00E57483"/>
    <w:rsid w:val="00E62DBC"/>
    <w:rsid w:val="00E71631"/>
    <w:rsid w:val="00E71E51"/>
    <w:rsid w:val="00E74900"/>
    <w:rsid w:val="00E83AE6"/>
    <w:rsid w:val="00E83F21"/>
    <w:rsid w:val="00E905FB"/>
    <w:rsid w:val="00E9158E"/>
    <w:rsid w:val="00E91C27"/>
    <w:rsid w:val="00E945AC"/>
    <w:rsid w:val="00E94C1F"/>
    <w:rsid w:val="00EA5D38"/>
    <w:rsid w:val="00EA7773"/>
    <w:rsid w:val="00EB0212"/>
    <w:rsid w:val="00EB3CA2"/>
    <w:rsid w:val="00EB3D35"/>
    <w:rsid w:val="00EB6159"/>
    <w:rsid w:val="00EC01D2"/>
    <w:rsid w:val="00EC028B"/>
    <w:rsid w:val="00EC09A7"/>
    <w:rsid w:val="00EC11A1"/>
    <w:rsid w:val="00EC5621"/>
    <w:rsid w:val="00EC6C8D"/>
    <w:rsid w:val="00EC7C9D"/>
    <w:rsid w:val="00ED2988"/>
    <w:rsid w:val="00ED6764"/>
    <w:rsid w:val="00EE2657"/>
    <w:rsid w:val="00EE6D3C"/>
    <w:rsid w:val="00EF149A"/>
    <w:rsid w:val="00EF40BC"/>
    <w:rsid w:val="00EF6FE3"/>
    <w:rsid w:val="00F04542"/>
    <w:rsid w:val="00F04D62"/>
    <w:rsid w:val="00F056D9"/>
    <w:rsid w:val="00F05966"/>
    <w:rsid w:val="00F0658D"/>
    <w:rsid w:val="00F1268F"/>
    <w:rsid w:val="00F136AB"/>
    <w:rsid w:val="00F160B6"/>
    <w:rsid w:val="00F17A81"/>
    <w:rsid w:val="00F17C7A"/>
    <w:rsid w:val="00F24B9D"/>
    <w:rsid w:val="00F278A7"/>
    <w:rsid w:val="00F300AA"/>
    <w:rsid w:val="00F31687"/>
    <w:rsid w:val="00F35997"/>
    <w:rsid w:val="00F40EA6"/>
    <w:rsid w:val="00F41794"/>
    <w:rsid w:val="00F417F5"/>
    <w:rsid w:val="00F42C14"/>
    <w:rsid w:val="00F436DC"/>
    <w:rsid w:val="00F57882"/>
    <w:rsid w:val="00F645DB"/>
    <w:rsid w:val="00F669C9"/>
    <w:rsid w:val="00F700BD"/>
    <w:rsid w:val="00F72AC8"/>
    <w:rsid w:val="00F8664D"/>
    <w:rsid w:val="00F86B4A"/>
    <w:rsid w:val="00F87DE9"/>
    <w:rsid w:val="00F91CB5"/>
    <w:rsid w:val="00F946D6"/>
    <w:rsid w:val="00F95ADD"/>
    <w:rsid w:val="00F96E65"/>
    <w:rsid w:val="00FA0648"/>
    <w:rsid w:val="00FA0D76"/>
    <w:rsid w:val="00FA3485"/>
    <w:rsid w:val="00FB59FC"/>
    <w:rsid w:val="00FC389F"/>
    <w:rsid w:val="00FC69B8"/>
    <w:rsid w:val="00FD240A"/>
    <w:rsid w:val="00FD267B"/>
    <w:rsid w:val="00FD60B3"/>
    <w:rsid w:val="00FD6A80"/>
    <w:rsid w:val="00FE09B6"/>
    <w:rsid w:val="00FE251C"/>
    <w:rsid w:val="00FE323F"/>
    <w:rsid w:val="00FE6AC7"/>
    <w:rsid w:val="00FF385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847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2026-01-26T17:52:00Z</dcterms:created>
  <dcterms:modified xsi:type="dcterms:W3CDTF">2026-01-26T17:52:00Z</dcterms:modified>
</cp:coreProperties>
</file>