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3656F" w14:textId="77777777" w:rsidR="002F5E2A" w:rsidRPr="00435A54" w:rsidRDefault="002F5E2A" w:rsidP="002F5E2A">
      <w:pPr>
        <w:widowControl/>
        <w:suppressAutoHyphens/>
        <w:autoSpaceDE/>
        <w:autoSpaceDN/>
        <w:adjustRightInd/>
        <w:rPr>
          <w:bCs/>
          <w:caps/>
          <w:sz w:val="18"/>
        </w:rPr>
      </w:pPr>
      <w:r w:rsidRPr="00435A54">
        <w:rPr>
          <w:b/>
          <w:bCs/>
          <w:caps/>
          <w:sz w:val="18"/>
        </w:rPr>
        <w:t xml:space="preserve">R746.  </w:t>
      </w:r>
      <w:r w:rsidRPr="00435A54">
        <w:rPr>
          <w:b/>
          <w:bCs/>
          <w:sz w:val="18"/>
        </w:rPr>
        <w:t>Public Service Commission, Administration.</w:t>
      </w:r>
    </w:p>
    <w:p w14:paraId="37D73029" w14:textId="77777777" w:rsidR="002F5E2A" w:rsidRPr="00435A54" w:rsidRDefault="002F5E2A" w:rsidP="002F5E2A">
      <w:pPr>
        <w:widowControl/>
        <w:suppressAutoHyphens/>
        <w:autoSpaceDE/>
        <w:autoSpaceDN/>
        <w:adjustRightInd/>
        <w:rPr>
          <w:bCs/>
          <w:sz w:val="18"/>
        </w:rPr>
      </w:pPr>
      <w:r w:rsidRPr="00435A54">
        <w:rPr>
          <w:b/>
          <w:bCs/>
          <w:sz w:val="18"/>
        </w:rPr>
        <w:t>R746-318.  Large-Scale Electric Requirements.</w:t>
      </w:r>
    </w:p>
    <w:p w14:paraId="555F70C1" w14:textId="77777777" w:rsidR="002F5E2A" w:rsidRPr="00435A54" w:rsidRDefault="002F5E2A" w:rsidP="002F5E2A">
      <w:pPr>
        <w:widowControl/>
        <w:suppressAutoHyphens/>
        <w:autoSpaceDE/>
        <w:autoSpaceDN/>
        <w:adjustRightInd/>
        <w:rPr>
          <w:bCs/>
          <w:sz w:val="18"/>
        </w:rPr>
      </w:pPr>
      <w:r w:rsidRPr="00435A54">
        <w:rPr>
          <w:b/>
          <w:bCs/>
          <w:sz w:val="18"/>
        </w:rPr>
        <w:t>R746-318-101.  Definitions.</w:t>
      </w:r>
    </w:p>
    <w:p w14:paraId="4975907A" w14:textId="77777777" w:rsidR="002F5E2A" w:rsidRPr="00435A54" w:rsidRDefault="002F5E2A" w:rsidP="002F5E2A">
      <w:pPr>
        <w:widowControl/>
        <w:suppressAutoHyphens/>
        <w:autoSpaceDE/>
        <w:autoSpaceDN/>
        <w:adjustRightInd/>
        <w:rPr>
          <w:sz w:val="18"/>
        </w:rPr>
      </w:pPr>
      <w:r w:rsidRPr="00435A54">
        <w:rPr>
          <w:sz w:val="18"/>
        </w:rPr>
        <w:tab/>
        <w:t>As used in this rule:</w:t>
      </w:r>
    </w:p>
    <w:p w14:paraId="3E347588" w14:textId="77777777" w:rsidR="002F5E2A" w:rsidRPr="00435A54" w:rsidRDefault="002F5E2A" w:rsidP="002F5E2A">
      <w:pPr>
        <w:widowControl/>
        <w:suppressAutoHyphens/>
        <w:rPr>
          <w:sz w:val="18"/>
        </w:rPr>
      </w:pPr>
      <w:r w:rsidRPr="00435A54">
        <w:rPr>
          <w:sz w:val="18"/>
        </w:rPr>
        <w:tab/>
        <w:t>(1)  "Applicant" means a person who files an application for Commission approval of a large load contract or private generation contract.</w:t>
      </w:r>
    </w:p>
    <w:p w14:paraId="7D8DBABE" w14:textId="77777777" w:rsidR="002F5E2A" w:rsidRPr="00435A54" w:rsidRDefault="002F5E2A" w:rsidP="002F5E2A">
      <w:pPr>
        <w:widowControl/>
        <w:suppressAutoHyphens/>
        <w:rPr>
          <w:sz w:val="18"/>
        </w:rPr>
      </w:pPr>
      <w:r w:rsidRPr="00435A54">
        <w:rPr>
          <w:sz w:val="18"/>
        </w:rPr>
        <w:tab/>
        <w:t>(2)  "Application" means an application for Commission approval of a large load contract or private generation contract.</w:t>
      </w:r>
    </w:p>
    <w:p w14:paraId="41421125" w14:textId="77777777" w:rsidR="002F5E2A" w:rsidRPr="00435A54" w:rsidRDefault="002F5E2A" w:rsidP="002F5E2A">
      <w:pPr>
        <w:widowControl/>
        <w:suppressAutoHyphens/>
        <w:rPr>
          <w:sz w:val="18"/>
        </w:rPr>
      </w:pPr>
      <w:r w:rsidRPr="00435A54">
        <w:rPr>
          <w:sz w:val="18"/>
        </w:rPr>
        <w:tab/>
        <w:t>(3)  "Closed private generation system" is defined as in Subsection 54-26-101(1).</w:t>
      </w:r>
    </w:p>
    <w:p w14:paraId="1E9897AD" w14:textId="77777777" w:rsidR="002F5E2A" w:rsidRPr="00435A54" w:rsidRDefault="002F5E2A" w:rsidP="002F5E2A">
      <w:pPr>
        <w:widowControl/>
        <w:suppressAutoHyphens/>
        <w:rPr>
          <w:sz w:val="18"/>
        </w:rPr>
      </w:pPr>
      <w:r w:rsidRPr="00435A54">
        <w:rPr>
          <w:sz w:val="18"/>
        </w:rPr>
        <w:tab/>
        <w:t>(4)  "Commission" means the Public Service Commission.</w:t>
      </w:r>
    </w:p>
    <w:p w14:paraId="5EFF9C84" w14:textId="77777777" w:rsidR="002F5E2A" w:rsidRPr="00435A54" w:rsidRDefault="002F5E2A" w:rsidP="002F5E2A">
      <w:pPr>
        <w:widowControl/>
        <w:suppressAutoHyphens/>
        <w:rPr>
          <w:sz w:val="18"/>
        </w:rPr>
      </w:pPr>
      <w:r w:rsidRPr="00435A54">
        <w:rPr>
          <w:sz w:val="18"/>
        </w:rPr>
        <w:tab/>
        <w:t>(5)  "Connected generation system" is defined as in Subsection 54-26-101(2).</w:t>
      </w:r>
    </w:p>
    <w:p w14:paraId="0F245789" w14:textId="77777777" w:rsidR="002F5E2A" w:rsidRPr="00435A54" w:rsidRDefault="002F5E2A" w:rsidP="002F5E2A">
      <w:pPr>
        <w:widowControl/>
        <w:suppressAutoHyphens/>
        <w:rPr>
          <w:sz w:val="18"/>
        </w:rPr>
      </w:pPr>
      <w:r w:rsidRPr="00435A54">
        <w:rPr>
          <w:sz w:val="18"/>
        </w:rPr>
        <w:tab/>
        <w:t>(6)  "Large load contract" is defined as in Subsection 54-26-101(4).</w:t>
      </w:r>
    </w:p>
    <w:p w14:paraId="003EE59C" w14:textId="77777777" w:rsidR="002F5E2A" w:rsidRPr="00435A54" w:rsidRDefault="002F5E2A" w:rsidP="002F5E2A">
      <w:pPr>
        <w:widowControl/>
        <w:suppressAutoHyphens/>
        <w:rPr>
          <w:sz w:val="18"/>
        </w:rPr>
      </w:pPr>
      <w:r w:rsidRPr="00435A54">
        <w:rPr>
          <w:sz w:val="18"/>
        </w:rPr>
        <w:tab/>
        <w:t>(7)  "Large load construction contract" is defined as in Subsection 54-26-101(5).</w:t>
      </w:r>
    </w:p>
    <w:p w14:paraId="07FB460D" w14:textId="77777777" w:rsidR="002F5E2A" w:rsidRPr="00435A54" w:rsidRDefault="002F5E2A" w:rsidP="002F5E2A">
      <w:pPr>
        <w:widowControl/>
        <w:suppressAutoHyphens/>
        <w:rPr>
          <w:sz w:val="18"/>
        </w:rPr>
      </w:pPr>
      <w:r w:rsidRPr="00435A54">
        <w:rPr>
          <w:sz w:val="18"/>
        </w:rPr>
        <w:tab/>
        <w:t>(8)  "Large load customer" is defined as in Subsection 54-26-101(6).</w:t>
      </w:r>
    </w:p>
    <w:p w14:paraId="4DBB12ED" w14:textId="77777777" w:rsidR="002F5E2A" w:rsidRPr="00435A54" w:rsidRDefault="002F5E2A" w:rsidP="002F5E2A">
      <w:pPr>
        <w:widowControl/>
        <w:suppressAutoHyphens/>
        <w:rPr>
          <w:sz w:val="18"/>
        </w:rPr>
      </w:pPr>
      <w:r w:rsidRPr="00435A54">
        <w:rPr>
          <w:sz w:val="18"/>
        </w:rPr>
        <w:tab/>
        <w:t>(9)  "Large load facilities" is defined as in Subsection 54-26-101(7).</w:t>
      </w:r>
    </w:p>
    <w:p w14:paraId="1CD1EAC7" w14:textId="77777777" w:rsidR="002F5E2A" w:rsidRPr="00435A54" w:rsidRDefault="002F5E2A" w:rsidP="002F5E2A">
      <w:pPr>
        <w:widowControl/>
        <w:suppressAutoHyphens/>
        <w:rPr>
          <w:sz w:val="18"/>
        </w:rPr>
      </w:pPr>
      <w:r w:rsidRPr="00435A54">
        <w:rPr>
          <w:sz w:val="18"/>
        </w:rPr>
        <w:tab/>
        <w:t>(10)  "Large load incremental costs" is defined as in Subsection 54-26-101(9).</w:t>
      </w:r>
    </w:p>
    <w:p w14:paraId="3C2892EF" w14:textId="77777777" w:rsidR="002F5E2A" w:rsidRPr="00435A54" w:rsidRDefault="002F5E2A" w:rsidP="002F5E2A">
      <w:pPr>
        <w:widowControl/>
        <w:suppressAutoHyphens/>
        <w:rPr>
          <w:sz w:val="18"/>
        </w:rPr>
      </w:pPr>
      <w:r w:rsidRPr="00435A54">
        <w:rPr>
          <w:sz w:val="18"/>
        </w:rPr>
        <w:tab/>
        <w:t>(11)  "Large-scale generation provider" is defined as in Subsection 54-26-101(11).</w:t>
      </w:r>
    </w:p>
    <w:p w14:paraId="7B99AEF7" w14:textId="77777777" w:rsidR="002F5E2A" w:rsidRPr="00435A54" w:rsidRDefault="002F5E2A" w:rsidP="002F5E2A">
      <w:pPr>
        <w:widowControl/>
        <w:suppressAutoHyphens/>
        <w:rPr>
          <w:sz w:val="18"/>
        </w:rPr>
      </w:pPr>
      <w:r w:rsidRPr="00435A54">
        <w:rPr>
          <w:sz w:val="18"/>
        </w:rPr>
        <w:tab/>
        <w:t>(12)  "Large-scale service request" is defined as in Subsection 54-26-101(12).</w:t>
      </w:r>
    </w:p>
    <w:p w14:paraId="51DA3942" w14:textId="77777777" w:rsidR="002F5E2A" w:rsidRPr="00435A54" w:rsidRDefault="002F5E2A" w:rsidP="002F5E2A">
      <w:pPr>
        <w:widowControl/>
        <w:suppressAutoHyphens/>
        <w:rPr>
          <w:sz w:val="18"/>
        </w:rPr>
      </w:pPr>
      <w:r w:rsidRPr="00435A54">
        <w:rPr>
          <w:sz w:val="18"/>
        </w:rPr>
        <w:tab/>
        <w:t>(13)  "Private generation contract" is defined as in Subsection 54-26-101(13).</w:t>
      </w:r>
    </w:p>
    <w:p w14:paraId="3BD378CF" w14:textId="77777777" w:rsidR="002F5E2A" w:rsidRPr="00435A54" w:rsidRDefault="002F5E2A" w:rsidP="002F5E2A">
      <w:pPr>
        <w:widowControl/>
        <w:suppressAutoHyphens/>
        <w:rPr>
          <w:sz w:val="18"/>
        </w:rPr>
      </w:pPr>
      <w:r w:rsidRPr="00435A54">
        <w:rPr>
          <w:sz w:val="18"/>
        </w:rPr>
        <w:tab/>
        <w:t>(14)  "Qualified electric utility" is defined as in Subsection 54-26-101(14).</w:t>
      </w:r>
    </w:p>
    <w:p w14:paraId="3ACE8341" w14:textId="77777777" w:rsidR="002F5E2A" w:rsidRPr="00435A54" w:rsidRDefault="002F5E2A" w:rsidP="002F5E2A">
      <w:pPr>
        <w:widowControl/>
        <w:suppressAutoHyphens/>
        <w:rPr>
          <w:sz w:val="18"/>
        </w:rPr>
      </w:pPr>
      <w:r w:rsidRPr="00435A54">
        <w:rPr>
          <w:sz w:val="18"/>
        </w:rPr>
        <w:tab/>
        <w:t>(15)  "Qualifying generation resources" is defined as in Subsection 54-26-101(15).</w:t>
      </w:r>
    </w:p>
    <w:p w14:paraId="1F8E173A" w14:textId="77777777" w:rsidR="002F5E2A" w:rsidRPr="00435A54" w:rsidRDefault="002F5E2A" w:rsidP="002F5E2A">
      <w:pPr>
        <w:widowControl/>
        <w:suppressAutoHyphens/>
        <w:autoSpaceDE/>
        <w:autoSpaceDN/>
        <w:adjustRightInd/>
        <w:rPr>
          <w:bCs/>
          <w:sz w:val="18"/>
        </w:rPr>
      </w:pPr>
    </w:p>
    <w:p w14:paraId="291DD1E8" w14:textId="77777777" w:rsidR="002F5E2A" w:rsidRPr="00435A54" w:rsidRDefault="002F5E2A" w:rsidP="002F5E2A">
      <w:pPr>
        <w:widowControl/>
        <w:suppressAutoHyphens/>
        <w:autoSpaceDE/>
        <w:autoSpaceDN/>
        <w:adjustRightInd/>
        <w:rPr>
          <w:bCs/>
          <w:sz w:val="18"/>
        </w:rPr>
      </w:pPr>
      <w:r w:rsidRPr="00435A54">
        <w:rPr>
          <w:b/>
          <w:bCs/>
          <w:sz w:val="18"/>
        </w:rPr>
        <w:t>R746-318-102.  Authority and Scope.</w:t>
      </w:r>
    </w:p>
    <w:p w14:paraId="780A6FD8" w14:textId="77777777" w:rsidR="002F5E2A" w:rsidRPr="00435A54" w:rsidRDefault="002F5E2A" w:rsidP="002F5E2A">
      <w:pPr>
        <w:widowControl/>
        <w:suppressAutoHyphens/>
        <w:rPr>
          <w:sz w:val="18"/>
        </w:rPr>
      </w:pPr>
      <w:r w:rsidRPr="00435A54">
        <w:rPr>
          <w:sz w:val="18"/>
        </w:rPr>
        <w:tab/>
        <w:t>(1)  This rule is adopted under Section 54-1-1 and Title 54, Chapter 26, Large-Scale Electric Service Requirements.</w:t>
      </w:r>
    </w:p>
    <w:p w14:paraId="4371A502" w14:textId="77777777" w:rsidR="002F5E2A" w:rsidRPr="00435A54" w:rsidRDefault="002F5E2A" w:rsidP="002F5E2A">
      <w:pPr>
        <w:widowControl/>
        <w:suppressAutoHyphens/>
        <w:rPr>
          <w:sz w:val="18"/>
        </w:rPr>
      </w:pPr>
      <w:r w:rsidRPr="00435A54">
        <w:rPr>
          <w:sz w:val="18"/>
        </w:rPr>
        <w:tab/>
        <w:t>(2)  This rule governs:</w:t>
      </w:r>
    </w:p>
    <w:p w14:paraId="79D41B29" w14:textId="77777777" w:rsidR="002F5E2A" w:rsidRPr="00435A54" w:rsidRDefault="002F5E2A" w:rsidP="002F5E2A">
      <w:pPr>
        <w:widowControl/>
        <w:suppressAutoHyphens/>
        <w:rPr>
          <w:sz w:val="18"/>
        </w:rPr>
      </w:pPr>
      <w:r w:rsidRPr="00435A54">
        <w:rPr>
          <w:sz w:val="18"/>
        </w:rPr>
        <w:tab/>
        <w:t>(a)  the allocation of transmission costs between large load customers and retail customers for large load contracts for all purposes contemplated under Title 54, Chapter 26, Large-Scale Electric Service Requirements;</w:t>
      </w:r>
    </w:p>
    <w:p w14:paraId="5922E124" w14:textId="77777777" w:rsidR="002F5E2A" w:rsidRPr="00435A54" w:rsidRDefault="002F5E2A" w:rsidP="002F5E2A">
      <w:pPr>
        <w:widowControl/>
        <w:suppressAutoHyphens/>
        <w:rPr>
          <w:sz w:val="18"/>
        </w:rPr>
      </w:pPr>
      <w:r w:rsidRPr="00435A54">
        <w:rPr>
          <w:sz w:val="18"/>
        </w:rPr>
        <w:tab/>
        <w:t>(b)  the Commission's review of an application for approval of a large load contract; and</w:t>
      </w:r>
    </w:p>
    <w:p w14:paraId="2A23F5A0" w14:textId="77777777" w:rsidR="002F5E2A" w:rsidRPr="00435A54" w:rsidRDefault="002F5E2A" w:rsidP="002F5E2A">
      <w:pPr>
        <w:widowControl/>
        <w:suppressAutoHyphens/>
        <w:rPr>
          <w:sz w:val="18"/>
        </w:rPr>
      </w:pPr>
      <w:r w:rsidRPr="00435A54">
        <w:rPr>
          <w:sz w:val="18"/>
        </w:rPr>
        <w:tab/>
        <w:t>(c)  a large-scale generation provider's registration and registration status with the Commission.</w:t>
      </w:r>
    </w:p>
    <w:p w14:paraId="4092C2E8" w14:textId="77777777" w:rsidR="002F5E2A" w:rsidRPr="00435A54" w:rsidRDefault="002F5E2A" w:rsidP="002F5E2A">
      <w:pPr>
        <w:widowControl/>
        <w:suppressAutoHyphens/>
        <w:rPr>
          <w:sz w:val="18"/>
        </w:rPr>
      </w:pPr>
    </w:p>
    <w:p w14:paraId="594C1892" w14:textId="77777777" w:rsidR="002F5E2A" w:rsidRPr="00435A54" w:rsidRDefault="002F5E2A" w:rsidP="002F5E2A">
      <w:pPr>
        <w:widowControl/>
        <w:suppressAutoHyphens/>
        <w:rPr>
          <w:bCs/>
          <w:sz w:val="18"/>
        </w:rPr>
      </w:pPr>
      <w:r w:rsidRPr="00435A54">
        <w:rPr>
          <w:b/>
          <w:bCs/>
          <w:sz w:val="18"/>
        </w:rPr>
        <w:t>R746-318-103.  Confidentiality and Access to Information.</w:t>
      </w:r>
    </w:p>
    <w:p w14:paraId="57576E28" w14:textId="77777777" w:rsidR="002F5E2A" w:rsidRPr="00435A54" w:rsidRDefault="002F5E2A" w:rsidP="002F5E2A">
      <w:pPr>
        <w:widowControl/>
        <w:suppressAutoHyphens/>
        <w:rPr>
          <w:sz w:val="18"/>
        </w:rPr>
      </w:pPr>
      <w:r w:rsidRPr="00435A54">
        <w:rPr>
          <w:sz w:val="18"/>
        </w:rPr>
        <w:tab/>
        <w:t>(1)  An applicant may designate information it submits to the Commission as confidential or highly confidential pursuant to the procedures set forth in Section R746-1-601.</w:t>
      </w:r>
    </w:p>
    <w:p w14:paraId="5029DB8F" w14:textId="77777777" w:rsidR="002F5E2A" w:rsidRPr="00435A54" w:rsidRDefault="002F5E2A" w:rsidP="002F5E2A">
      <w:pPr>
        <w:widowControl/>
        <w:suppressAutoHyphens/>
        <w:rPr>
          <w:sz w:val="18"/>
        </w:rPr>
      </w:pPr>
      <w:r w:rsidRPr="00435A54">
        <w:rPr>
          <w:sz w:val="18"/>
        </w:rPr>
        <w:tab/>
        <w:t>(2)  To the extent an applicant believes it necessary to restrict access to sensitive information from persons otherwise entitled to review confidential or highly confidential information under Section R746-1-602, the applicant may designate information as regulator access only by:</w:t>
      </w:r>
    </w:p>
    <w:p w14:paraId="70D8CD6B" w14:textId="77777777" w:rsidR="002F5E2A" w:rsidRPr="00435A54" w:rsidRDefault="002F5E2A" w:rsidP="002F5E2A">
      <w:pPr>
        <w:widowControl/>
        <w:suppressAutoHyphens/>
        <w:rPr>
          <w:sz w:val="18"/>
        </w:rPr>
      </w:pPr>
      <w:r w:rsidRPr="00435A54">
        <w:rPr>
          <w:sz w:val="18"/>
        </w:rPr>
        <w:tab/>
        <w:t>(a)  placing the information on a document with a pink background;</w:t>
      </w:r>
    </w:p>
    <w:p w14:paraId="484D8538" w14:textId="77777777" w:rsidR="002F5E2A" w:rsidRPr="00435A54" w:rsidRDefault="002F5E2A" w:rsidP="002F5E2A">
      <w:pPr>
        <w:widowControl/>
        <w:suppressAutoHyphens/>
        <w:rPr>
          <w:sz w:val="18"/>
        </w:rPr>
      </w:pPr>
      <w:r w:rsidRPr="00435A54">
        <w:rPr>
          <w:sz w:val="18"/>
        </w:rPr>
        <w:tab/>
        <w:t>(b)  highlighting the information with shading, text boxes, borders, asterisks, or other conspicuous formatting; and</w:t>
      </w:r>
    </w:p>
    <w:p w14:paraId="60FC9F37" w14:textId="77777777" w:rsidR="002F5E2A" w:rsidRPr="00435A54" w:rsidRDefault="002F5E2A" w:rsidP="002F5E2A">
      <w:pPr>
        <w:widowControl/>
        <w:suppressAutoHyphens/>
        <w:rPr>
          <w:sz w:val="18"/>
        </w:rPr>
      </w:pPr>
      <w:r w:rsidRPr="00435A54">
        <w:rPr>
          <w:sz w:val="18"/>
        </w:rPr>
        <w:tab/>
        <w:t>(c)  including the following designation on each page containing the commercially sensitive information: "Regulator Access Only -- Highly Confidential -- Subject to Utah Public Service Commission Rule 746-318-103."</w:t>
      </w:r>
    </w:p>
    <w:p w14:paraId="5674F412" w14:textId="77777777" w:rsidR="002F5E2A" w:rsidRPr="00435A54" w:rsidRDefault="002F5E2A" w:rsidP="002F5E2A">
      <w:pPr>
        <w:widowControl/>
        <w:suppressAutoHyphens/>
        <w:rPr>
          <w:sz w:val="18"/>
        </w:rPr>
      </w:pPr>
      <w:r w:rsidRPr="00435A54">
        <w:rPr>
          <w:sz w:val="18"/>
        </w:rPr>
        <w:tab/>
        <w:t>(3)  An applicant that files a document containing information designated as regulator access only shall:</w:t>
      </w:r>
    </w:p>
    <w:p w14:paraId="5FC43060" w14:textId="77777777" w:rsidR="002F5E2A" w:rsidRPr="00435A54" w:rsidRDefault="002F5E2A" w:rsidP="002F5E2A">
      <w:pPr>
        <w:widowControl/>
        <w:suppressAutoHyphens/>
        <w:rPr>
          <w:sz w:val="18"/>
        </w:rPr>
      </w:pPr>
      <w:r w:rsidRPr="00435A54">
        <w:rPr>
          <w:sz w:val="18"/>
        </w:rPr>
        <w:tab/>
        <w:t>(a)  file a redacted version for public access and</w:t>
      </w:r>
    </w:p>
    <w:p w14:paraId="0480CAEA" w14:textId="77777777" w:rsidR="002F5E2A" w:rsidRPr="00435A54" w:rsidRDefault="002F5E2A" w:rsidP="002F5E2A">
      <w:pPr>
        <w:widowControl/>
        <w:suppressAutoHyphens/>
        <w:rPr>
          <w:sz w:val="18"/>
        </w:rPr>
      </w:pPr>
      <w:r w:rsidRPr="00435A54">
        <w:rPr>
          <w:sz w:val="18"/>
        </w:rPr>
        <w:tab/>
        <w:t>(b)  ensure that the line numbering and formatting in the redacted version match, as closely as practicable, that appearing in the unredacted version.</w:t>
      </w:r>
    </w:p>
    <w:p w14:paraId="5BF52608" w14:textId="77777777" w:rsidR="002F5E2A" w:rsidRPr="00435A54" w:rsidRDefault="002F5E2A" w:rsidP="002F5E2A">
      <w:pPr>
        <w:widowControl/>
        <w:suppressAutoHyphens/>
        <w:rPr>
          <w:sz w:val="18"/>
        </w:rPr>
      </w:pPr>
      <w:r w:rsidRPr="00435A54">
        <w:rPr>
          <w:iCs/>
          <w:sz w:val="18"/>
        </w:rPr>
        <w:tab/>
        <w:t>(4)  I</w:t>
      </w:r>
      <w:r w:rsidRPr="00435A54">
        <w:rPr>
          <w:sz w:val="18"/>
        </w:rPr>
        <w:t>nformation an applicant designates as regulatory access only shall be treated as confidential or highly confidential information for purposes of applying the sections of Rule R746-1 that refer to confidential or highly confidential information except the categories of persons entitled to receive or review the information enumerated in Section R746-1-602.</w:t>
      </w:r>
    </w:p>
    <w:p w14:paraId="66C0F57E" w14:textId="77777777" w:rsidR="002F5E2A" w:rsidRPr="00435A54" w:rsidRDefault="002F5E2A" w:rsidP="002F5E2A">
      <w:pPr>
        <w:widowControl/>
        <w:suppressAutoHyphens/>
        <w:rPr>
          <w:sz w:val="18"/>
        </w:rPr>
      </w:pPr>
      <w:r w:rsidRPr="00435A54">
        <w:rPr>
          <w:sz w:val="18"/>
        </w:rPr>
        <w:tab/>
        <w:t>(5)  Only the following persons are entitled to receive and review information the applicant designates as regulator access only:</w:t>
      </w:r>
    </w:p>
    <w:p w14:paraId="1396D4E4" w14:textId="77777777" w:rsidR="002F5E2A" w:rsidRPr="00435A54" w:rsidRDefault="002F5E2A" w:rsidP="002F5E2A">
      <w:pPr>
        <w:widowControl/>
        <w:suppressAutoHyphens/>
        <w:rPr>
          <w:sz w:val="18"/>
        </w:rPr>
      </w:pPr>
      <w:r w:rsidRPr="00435A54">
        <w:rPr>
          <w:sz w:val="18"/>
        </w:rPr>
        <w:tab/>
        <w:t>(a)  the Commission, including its counsel, staff, and the independent consultant retained as contemplated by Subsection 54-26-901(1)(b);</w:t>
      </w:r>
    </w:p>
    <w:p w14:paraId="1C71FACF" w14:textId="77777777" w:rsidR="002F5E2A" w:rsidRPr="00435A54" w:rsidRDefault="002F5E2A" w:rsidP="002F5E2A">
      <w:pPr>
        <w:widowControl/>
        <w:suppressAutoHyphens/>
        <w:rPr>
          <w:sz w:val="18"/>
        </w:rPr>
      </w:pPr>
      <w:r w:rsidRPr="00435A54">
        <w:rPr>
          <w:sz w:val="18"/>
        </w:rPr>
        <w:tab/>
        <w:t>(b)  the Division of Public Utilities, Utah Department of Commerce, including its counsel, staff, and any independent consultant it retains as contemplated under Subsection 54-26-901(5)(a); and</w:t>
      </w:r>
    </w:p>
    <w:p w14:paraId="5BAF91B8" w14:textId="77777777" w:rsidR="002F5E2A" w:rsidRPr="00435A54" w:rsidRDefault="002F5E2A" w:rsidP="002F5E2A">
      <w:pPr>
        <w:widowControl/>
        <w:suppressAutoHyphens/>
        <w:rPr>
          <w:sz w:val="18"/>
        </w:rPr>
      </w:pPr>
      <w:r w:rsidRPr="00435A54">
        <w:rPr>
          <w:sz w:val="18"/>
        </w:rPr>
        <w:tab/>
        <w:t>(c)  the Office of Consumer Services, Utah Department of Commerce, including its counsel, staff, and any independent consultant it retains as contemplated under Subsection 54-26-901(5)(a).</w:t>
      </w:r>
    </w:p>
    <w:p w14:paraId="7976145C" w14:textId="77777777" w:rsidR="002F5E2A" w:rsidRPr="00435A54" w:rsidRDefault="002F5E2A" w:rsidP="002F5E2A">
      <w:pPr>
        <w:widowControl/>
        <w:suppressAutoHyphens/>
        <w:rPr>
          <w:sz w:val="18"/>
        </w:rPr>
      </w:pPr>
      <w:r w:rsidRPr="00435A54">
        <w:rPr>
          <w:sz w:val="18"/>
        </w:rPr>
        <w:tab/>
        <w:t>(6)(a)  A qualified electric utility or other intervenor may challenge an applicant's designation of information as regulator access only consistent with Section R746-1-604 and may propose alternative protections it believes are adequate to protect the commercially sensitive information, including restricting access to persons who execute non-disclosure agreements, as contemplated under Section R746-1-602.</w:t>
      </w:r>
    </w:p>
    <w:p w14:paraId="41F8096E" w14:textId="77777777" w:rsidR="002F5E2A" w:rsidRPr="00435A54" w:rsidRDefault="002F5E2A" w:rsidP="002F5E2A">
      <w:pPr>
        <w:widowControl/>
        <w:suppressAutoHyphens/>
        <w:rPr>
          <w:sz w:val="18"/>
        </w:rPr>
      </w:pPr>
      <w:r w:rsidRPr="00435A54">
        <w:rPr>
          <w:sz w:val="18"/>
        </w:rPr>
        <w:tab/>
        <w:t>(b)  To the extent the applicant wishes to restrict the challenging party's access to the information, notwithstanding its proposed alternative protections, the applicant bears the burden of demonstrating that access could be used to the competitive disadvantage of the applicant.</w:t>
      </w:r>
    </w:p>
    <w:p w14:paraId="638E8C1D" w14:textId="77777777" w:rsidR="002F5E2A" w:rsidRPr="00435A54" w:rsidRDefault="002F5E2A" w:rsidP="002F5E2A">
      <w:pPr>
        <w:widowControl/>
        <w:suppressAutoHyphens/>
        <w:rPr>
          <w:sz w:val="18"/>
        </w:rPr>
      </w:pPr>
      <w:r w:rsidRPr="00435A54">
        <w:rPr>
          <w:sz w:val="18"/>
        </w:rPr>
        <w:lastRenderedPageBreak/>
        <w:tab/>
        <w:t>(7)  A rebuttable presumption exists that the following categories of information are commercially sensitive and appropriately designated regulator access only: credit terms, pricing terms, and other commercial terms related to implementing pricing and credit terms.</w:t>
      </w:r>
    </w:p>
    <w:p w14:paraId="6EA2157D" w14:textId="77777777" w:rsidR="002F5E2A" w:rsidRPr="00435A54" w:rsidRDefault="002F5E2A" w:rsidP="002F5E2A">
      <w:pPr>
        <w:widowControl/>
        <w:suppressAutoHyphens/>
        <w:rPr>
          <w:sz w:val="18"/>
        </w:rPr>
      </w:pPr>
      <w:r w:rsidRPr="00435A54">
        <w:rPr>
          <w:sz w:val="18"/>
        </w:rPr>
        <w:tab/>
        <w:t>(8)  A rebuttable presumption exists that a qualified electric utility may receive and review the following categories of information: the specific locations of both the load and generation; size of the load; size of the generation; the resource type of the generation; the contract duration; the parties' present or future intent to interconnect the load or generation to the grid; and the existence of utility service at the site.</w:t>
      </w:r>
    </w:p>
    <w:p w14:paraId="5B1F5E42" w14:textId="77777777" w:rsidR="002F5E2A" w:rsidRPr="00435A54" w:rsidRDefault="002F5E2A" w:rsidP="002F5E2A">
      <w:pPr>
        <w:widowControl/>
        <w:suppressAutoHyphens/>
        <w:autoSpaceDE/>
        <w:autoSpaceDN/>
        <w:adjustRightInd/>
        <w:rPr>
          <w:bCs/>
          <w:sz w:val="18"/>
        </w:rPr>
      </w:pPr>
    </w:p>
    <w:p w14:paraId="5D7001EF" w14:textId="77777777" w:rsidR="002F5E2A" w:rsidRPr="00435A54" w:rsidRDefault="002F5E2A" w:rsidP="002F5E2A">
      <w:pPr>
        <w:widowControl/>
        <w:suppressAutoHyphens/>
        <w:autoSpaceDE/>
        <w:autoSpaceDN/>
        <w:adjustRightInd/>
        <w:rPr>
          <w:bCs/>
          <w:sz w:val="18"/>
        </w:rPr>
      </w:pPr>
      <w:r w:rsidRPr="00435A54">
        <w:rPr>
          <w:b/>
          <w:bCs/>
          <w:sz w:val="18"/>
        </w:rPr>
        <w:t>R746-318-201.  General Requirements for Filing an Application for Approval of a Large Load Contract.</w:t>
      </w:r>
    </w:p>
    <w:p w14:paraId="2D07269C" w14:textId="77777777" w:rsidR="002F5E2A" w:rsidRPr="00435A54" w:rsidRDefault="002F5E2A" w:rsidP="002F5E2A">
      <w:pPr>
        <w:widowControl/>
        <w:suppressAutoHyphens/>
        <w:rPr>
          <w:sz w:val="18"/>
        </w:rPr>
      </w:pPr>
      <w:r w:rsidRPr="00435A54">
        <w:rPr>
          <w:sz w:val="18"/>
        </w:rPr>
        <w:tab/>
        <w:t>(1)  Within 15 days of executing a large load contract, a qualified electric utility or large-scale generation provider shall file with the Commission an application for approval of the large load contract, including a full and unredacted copy of the large load contract and shall include any additional appropriately redacted version to the extent the applicant has designated information confidential, highly confidential, or regulator access only.</w:t>
      </w:r>
    </w:p>
    <w:p w14:paraId="06610106" w14:textId="77777777" w:rsidR="002F5E2A" w:rsidRPr="00435A54" w:rsidRDefault="002F5E2A" w:rsidP="002F5E2A">
      <w:pPr>
        <w:widowControl/>
        <w:suppressAutoHyphens/>
        <w:rPr>
          <w:sz w:val="18"/>
        </w:rPr>
      </w:pPr>
      <w:r w:rsidRPr="00435A54">
        <w:rPr>
          <w:sz w:val="18"/>
        </w:rPr>
        <w:tab/>
        <w:t>(2)  An application for Commission approval of a large load contract may be filed by a qualified electric utility or large-scale generation provider.</w:t>
      </w:r>
    </w:p>
    <w:p w14:paraId="5270E832" w14:textId="77777777" w:rsidR="002F5E2A" w:rsidRPr="00435A54" w:rsidRDefault="002F5E2A" w:rsidP="002F5E2A">
      <w:pPr>
        <w:widowControl/>
        <w:suppressAutoHyphens/>
        <w:rPr>
          <w:sz w:val="18"/>
        </w:rPr>
      </w:pPr>
      <w:r w:rsidRPr="00435A54">
        <w:rPr>
          <w:sz w:val="18"/>
        </w:rPr>
        <w:tab/>
        <w:t>(3)  An appropriately redacted version of the application for Commission approval of a large load contract to which the qualified electric utility is not a party shall be served upon the qualified electric utility on the same day an unredacted, complete version is filed with the Commission.</w:t>
      </w:r>
    </w:p>
    <w:p w14:paraId="508895AA" w14:textId="77777777" w:rsidR="002F5E2A" w:rsidRPr="00435A54" w:rsidRDefault="002F5E2A" w:rsidP="002F5E2A">
      <w:pPr>
        <w:widowControl/>
        <w:suppressAutoHyphens/>
        <w:rPr>
          <w:sz w:val="18"/>
        </w:rPr>
      </w:pPr>
      <w:r w:rsidRPr="00435A54">
        <w:rPr>
          <w:sz w:val="18"/>
        </w:rPr>
        <w:tab/>
        <w:t>(4)  An application to the Commission for approval of a large load contract shall be accompanied by:</w:t>
      </w:r>
    </w:p>
    <w:p w14:paraId="22E269E2" w14:textId="77777777" w:rsidR="002F5E2A" w:rsidRPr="00435A54" w:rsidRDefault="002F5E2A" w:rsidP="002F5E2A">
      <w:pPr>
        <w:widowControl/>
        <w:suppressAutoHyphens/>
        <w:rPr>
          <w:sz w:val="18"/>
        </w:rPr>
      </w:pPr>
      <w:r w:rsidRPr="00435A54">
        <w:rPr>
          <w:sz w:val="18"/>
        </w:rPr>
        <w:tab/>
        <w:t>(a)  evidence that demonstrates the large load customer meets the requirements of Title 54, Chapter 26, Large-Scale Electric Service Requirements;</w:t>
      </w:r>
    </w:p>
    <w:p w14:paraId="6304D5BF" w14:textId="77777777" w:rsidR="002F5E2A" w:rsidRPr="00435A54" w:rsidRDefault="002F5E2A" w:rsidP="002F5E2A">
      <w:pPr>
        <w:widowControl/>
        <w:suppressAutoHyphens/>
        <w:rPr>
          <w:sz w:val="18"/>
        </w:rPr>
      </w:pPr>
      <w:r w:rsidRPr="00435A54">
        <w:rPr>
          <w:sz w:val="18"/>
        </w:rPr>
        <w:tab/>
        <w:t>(b)  a copy of the fully executed large load contract at issue;</w:t>
      </w:r>
    </w:p>
    <w:p w14:paraId="4B88E7A3" w14:textId="77777777" w:rsidR="002F5E2A" w:rsidRPr="00435A54" w:rsidRDefault="002F5E2A" w:rsidP="002F5E2A">
      <w:pPr>
        <w:widowControl/>
        <w:suppressAutoHyphens/>
        <w:rPr>
          <w:sz w:val="18"/>
        </w:rPr>
      </w:pPr>
      <w:r w:rsidRPr="00435A54">
        <w:rPr>
          <w:sz w:val="18"/>
        </w:rPr>
        <w:tab/>
        <w:t>(c)  a description of how the addition of the applicant's use will impact the qualified electric utility's system, including the increase in electricity demand the qualified electric utility is projected to experience, if any, to serve the large load customer;</w:t>
      </w:r>
    </w:p>
    <w:p w14:paraId="5E2B3D97" w14:textId="77777777" w:rsidR="002F5E2A" w:rsidRPr="00435A54" w:rsidRDefault="002F5E2A" w:rsidP="002F5E2A">
      <w:pPr>
        <w:widowControl/>
        <w:suppressAutoHyphens/>
        <w:rPr>
          <w:sz w:val="18"/>
        </w:rPr>
      </w:pPr>
      <w:r w:rsidRPr="00435A54">
        <w:rPr>
          <w:sz w:val="18"/>
        </w:rPr>
        <w:tab/>
        <w:t>(d)  information describing the large load incremental costs necessary for the large load customer to receive electric service, including distribution costs, transmission costs, generation costs, contractual costs for providing electrical service, reasonable contribution to long-term operation and maintenance costs for large load facilities, and as applicable, any of the following as allowed by the Federal Energy Regulatory Commission:</w:t>
      </w:r>
    </w:p>
    <w:p w14:paraId="3BE6C0D8" w14:textId="77777777" w:rsidR="002F5E2A" w:rsidRPr="00435A54" w:rsidRDefault="002F5E2A" w:rsidP="002F5E2A">
      <w:pPr>
        <w:widowControl/>
        <w:suppressAutoHyphens/>
        <w:rPr>
          <w:sz w:val="18"/>
        </w:rPr>
      </w:pPr>
      <w:r w:rsidRPr="00435A54">
        <w:rPr>
          <w:sz w:val="18"/>
        </w:rPr>
        <w:tab/>
        <w:t>(</w:t>
      </w:r>
      <w:proofErr w:type="spellStart"/>
      <w:r w:rsidRPr="00435A54">
        <w:rPr>
          <w:sz w:val="18"/>
        </w:rPr>
        <w:t>i</w:t>
      </w:r>
      <w:proofErr w:type="spellEnd"/>
      <w:r w:rsidRPr="00435A54">
        <w:rPr>
          <w:sz w:val="18"/>
        </w:rPr>
        <w:t>)  transmission system improvements, including network upgrades;</w:t>
      </w:r>
    </w:p>
    <w:p w14:paraId="1E80E308" w14:textId="77777777" w:rsidR="002F5E2A" w:rsidRPr="00435A54" w:rsidRDefault="002F5E2A" w:rsidP="002F5E2A">
      <w:pPr>
        <w:widowControl/>
        <w:suppressAutoHyphens/>
        <w:rPr>
          <w:sz w:val="18"/>
        </w:rPr>
      </w:pPr>
      <w:r w:rsidRPr="00435A54">
        <w:rPr>
          <w:sz w:val="18"/>
        </w:rPr>
        <w:tab/>
        <w:t>(ii)  interconnection facilities;</w:t>
      </w:r>
    </w:p>
    <w:p w14:paraId="51926519" w14:textId="77777777" w:rsidR="002F5E2A" w:rsidRPr="00435A54" w:rsidRDefault="002F5E2A" w:rsidP="002F5E2A">
      <w:pPr>
        <w:widowControl/>
        <w:suppressAutoHyphens/>
        <w:rPr>
          <w:sz w:val="18"/>
        </w:rPr>
      </w:pPr>
      <w:r w:rsidRPr="00435A54">
        <w:rPr>
          <w:sz w:val="18"/>
        </w:rPr>
        <w:tab/>
        <w:t>(iii)  transmission service; and</w:t>
      </w:r>
    </w:p>
    <w:p w14:paraId="783D5CF3" w14:textId="77777777" w:rsidR="002F5E2A" w:rsidRPr="00435A54" w:rsidRDefault="002F5E2A" w:rsidP="002F5E2A">
      <w:pPr>
        <w:widowControl/>
        <w:suppressAutoHyphens/>
        <w:rPr>
          <w:sz w:val="18"/>
        </w:rPr>
      </w:pPr>
      <w:r w:rsidRPr="00435A54">
        <w:rPr>
          <w:sz w:val="18"/>
        </w:rPr>
        <w:tab/>
        <w:t>(iv)  other necessary infrastructure.</w:t>
      </w:r>
    </w:p>
    <w:p w14:paraId="6523D38E" w14:textId="77777777" w:rsidR="002F5E2A" w:rsidRPr="00435A54" w:rsidRDefault="002F5E2A" w:rsidP="002F5E2A">
      <w:pPr>
        <w:widowControl/>
        <w:suppressAutoHyphens/>
        <w:rPr>
          <w:sz w:val="18"/>
        </w:rPr>
      </w:pPr>
      <w:r w:rsidRPr="00435A54">
        <w:rPr>
          <w:sz w:val="18"/>
        </w:rPr>
        <w:tab/>
        <w:t>(5)  For large load contracts with a large-scale generation provider, the applicant shall provide:</w:t>
      </w:r>
    </w:p>
    <w:p w14:paraId="2A77E367" w14:textId="77777777" w:rsidR="002F5E2A" w:rsidRPr="00435A54" w:rsidRDefault="002F5E2A" w:rsidP="002F5E2A">
      <w:pPr>
        <w:widowControl/>
        <w:suppressAutoHyphens/>
        <w:rPr>
          <w:sz w:val="18"/>
        </w:rPr>
      </w:pPr>
      <w:r w:rsidRPr="00435A54">
        <w:rPr>
          <w:sz w:val="18"/>
        </w:rPr>
        <w:tab/>
        <w:t>(a)  certification from the large load customer that the requirements of Subsection 54-26-402(1) are met; and</w:t>
      </w:r>
    </w:p>
    <w:p w14:paraId="545BA0B6" w14:textId="77777777" w:rsidR="002F5E2A" w:rsidRPr="00435A54" w:rsidRDefault="002F5E2A" w:rsidP="002F5E2A">
      <w:pPr>
        <w:widowControl/>
        <w:suppressAutoHyphens/>
        <w:rPr>
          <w:sz w:val="18"/>
        </w:rPr>
      </w:pPr>
      <w:r w:rsidRPr="00435A54">
        <w:rPr>
          <w:sz w:val="18"/>
        </w:rPr>
        <w:tab/>
        <w:t>(b)  sufficient information for the Commission to find that the requirements of Title 54, Chapter 26, Large-Scale Electric Service Requirements, have been satisfied.</w:t>
      </w:r>
    </w:p>
    <w:p w14:paraId="5A314C18" w14:textId="77777777" w:rsidR="002F5E2A" w:rsidRPr="00435A54" w:rsidRDefault="002F5E2A" w:rsidP="002F5E2A">
      <w:pPr>
        <w:widowControl/>
        <w:suppressAutoHyphens/>
        <w:rPr>
          <w:sz w:val="18"/>
        </w:rPr>
      </w:pPr>
      <w:r w:rsidRPr="00435A54">
        <w:rPr>
          <w:sz w:val="18"/>
        </w:rPr>
        <w:tab/>
        <w:t>(6)  For large load contracts with the qualified electric utility, the application shall include a methodology for how the qualified electric utility will maintain separate accounting records with sufficient detail to demonstrate that costs will be directly assigned to the large load customer. This methodology will be provided by the qualified electric utility. Costs to be directly assigned to large load customers include those identified in Subsection R746-318-201(4)(d).</w:t>
      </w:r>
    </w:p>
    <w:p w14:paraId="304116BA" w14:textId="77777777" w:rsidR="002F5E2A" w:rsidRPr="00435A54" w:rsidRDefault="002F5E2A" w:rsidP="002F5E2A">
      <w:pPr>
        <w:widowControl/>
        <w:suppressAutoHyphens/>
        <w:rPr>
          <w:sz w:val="18"/>
        </w:rPr>
      </w:pPr>
      <w:r w:rsidRPr="00435A54">
        <w:rPr>
          <w:sz w:val="18"/>
        </w:rPr>
        <w:tab/>
        <w:t>(7)  The qualified electric utility will provide any information identified in Subsection 54-26-602(4) that is available when filing.</w:t>
      </w:r>
    </w:p>
    <w:p w14:paraId="4C11A786" w14:textId="77777777" w:rsidR="002F5E2A" w:rsidRPr="00435A54" w:rsidRDefault="002F5E2A" w:rsidP="002F5E2A">
      <w:pPr>
        <w:widowControl/>
        <w:suppressAutoHyphens/>
        <w:rPr>
          <w:sz w:val="18"/>
        </w:rPr>
      </w:pPr>
      <w:r w:rsidRPr="00435A54">
        <w:rPr>
          <w:sz w:val="18"/>
        </w:rPr>
        <w:tab/>
        <w:t>(8)  Spreadsheets provided in support of an application should have each formula intact.</w:t>
      </w:r>
    </w:p>
    <w:p w14:paraId="5C54A43B" w14:textId="77777777" w:rsidR="002F5E2A" w:rsidRPr="00435A54" w:rsidRDefault="002F5E2A" w:rsidP="002F5E2A">
      <w:pPr>
        <w:widowControl/>
        <w:suppressAutoHyphens/>
        <w:autoSpaceDE/>
        <w:autoSpaceDN/>
        <w:adjustRightInd/>
        <w:rPr>
          <w:bCs/>
          <w:sz w:val="18"/>
        </w:rPr>
      </w:pPr>
    </w:p>
    <w:p w14:paraId="362D627F" w14:textId="77777777" w:rsidR="002F5E2A" w:rsidRPr="00435A54" w:rsidRDefault="002F5E2A" w:rsidP="002F5E2A">
      <w:pPr>
        <w:widowControl/>
        <w:suppressAutoHyphens/>
        <w:autoSpaceDE/>
        <w:autoSpaceDN/>
        <w:adjustRightInd/>
        <w:rPr>
          <w:bCs/>
          <w:sz w:val="18"/>
        </w:rPr>
      </w:pPr>
      <w:r w:rsidRPr="00435A54">
        <w:rPr>
          <w:b/>
          <w:bCs/>
          <w:sz w:val="18"/>
        </w:rPr>
        <w:t>R746-318-202.  The Commission's Review of Large Load Contracts.</w:t>
      </w:r>
    </w:p>
    <w:p w14:paraId="06286DAB" w14:textId="77777777" w:rsidR="002F5E2A" w:rsidRPr="00435A54" w:rsidRDefault="002F5E2A" w:rsidP="002F5E2A">
      <w:pPr>
        <w:widowControl/>
        <w:suppressAutoHyphens/>
        <w:rPr>
          <w:sz w:val="18"/>
        </w:rPr>
      </w:pPr>
      <w:r w:rsidRPr="00435A54">
        <w:rPr>
          <w:sz w:val="18"/>
        </w:rPr>
        <w:tab/>
        <w:t>(1)  The Commission shall approve or disapprove an application for approval of a large load contract within 60 days of the application being filed.</w:t>
      </w:r>
    </w:p>
    <w:p w14:paraId="5803F031" w14:textId="77777777" w:rsidR="002F5E2A" w:rsidRPr="00435A54" w:rsidRDefault="002F5E2A" w:rsidP="002F5E2A">
      <w:pPr>
        <w:widowControl/>
        <w:suppressAutoHyphens/>
        <w:rPr>
          <w:sz w:val="18"/>
        </w:rPr>
      </w:pPr>
      <w:r w:rsidRPr="00435A54">
        <w:rPr>
          <w:sz w:val="18"/>
        </w:rPr>
        <w:tab/>
        <w:t>(2)  The Commission shall approve an application for a large load contract if the Commission finds:</w:t>
      </w:r>
    </w:p>
    <w:p w14:paraId="2A22750C" w14:textId="77777777" w:rsidR="002F5E2A" w:rsidRPr="00435A54" w:rsidRDefault="002F5E2A" w:rsidP="002F5E2A">
      <w:pPr>
        <w:widowControl/>
        <w:suppressAutoHyphens/>
        <w:rPr>
          <w:sz w:val="18"/>
        </w:rPr>
      </w:pPr>
      <w:r w:rsidRPr="00435A54">
        <w:rPr>
          <w:sz w:val="18"/>
        </w:rPr>
        <w:tab/>
        <w:t>(a)  the contract complies with Title 54, Chapter 26, Large-Scale Electric Service Requirements;</w:t>
      </w:r>
    </w:p>
    <w:p w14:paraId="06F120C2" w14:textId="77777777" w:rsidR="002F5E2A" w:rsidRPr="00435A54" w:rsidRDefault="002F5E2A" w:rsidP="002F5E2A">
      <w:pPr>
        <w:widowControl/>
        <w:suppressAutoHyphens/>
        <w:rPr>
          <w:sz w:val="18"/>
        </w:rPr>
      </w:pPr>
      <w:r w:rsidRPr="00435A54">
        <w:rPr>
          <w:sz w:val="18"/>
        </w:rPr>
        <w:tab/>
        <w:t>(b)  the large load customer bears each just and reasonable incremental cost attributable to receiving the requested electric service; and</w:t>
      </w:r>
    </w:p>
    <w:p w14:paraId="6B826C52" w14:textId="77777777" w:rsidR="002F5E2A" w:rsidRPr="00435A54" w:rsidRDefault="002F5E2A" w:rsidP="002F5E2A">
      <w:pPr>
        <w:widowControl/>
        <w:suppressAutoHyphens/>
        <w:rPr>
          <w:sz w:val="18"/>
        </w:rPr>
      </w:pPr>
      <w:r w:rsidRPr="00435A54">
        <w:rPr>
          <w:sz w:val="18"/>
        </w:rPr>
        <w:tab/>
        <w:t>(c)  existing ratepayers do not bear costs justly and reasonably attributable to providing electric service for the large load customer.</w:t>
      </w:r>
    </w:p>
    <w:p w14:paraId="05826853" w14:textId="77777777" w:rsidR="002F5E2A" w:rsidRPr="00435A54" w:rsidRDefault="002F5E2A" w:rsidP="002F5E2A">
      <w:pPr>
        <w:widowControl/>
        <w:suppressAutoHyphens/>
        <w:contextualSpacing/>
        <w:rPr>
          <w:sz w:val="18"/>
        </w:rPr>
      </w:pPr>
    </w:p>
    <w:p w14:paraId="76E8E63B" w14:textId="77777777" w:rsidR="002F5E2A" w:rsidRPr="00435A54" w:rsidRDefault="002F5E2A" w:rsidP="002F5E2A">
      <w:pPr>
        <w:widowControl/>
        <w:suppressAutoHyphens/>
        <w:autoSpaceDE/>
        <w:autoSpaceDN/>
        <w:adjustRightInd/>
        <w:rPr>
          <w:bCs/>
          <w:sz w:val="18"/>
        </w:rPr>
      </w:pPr>
      <w:r w:rsidRPr="00435A54">
        <w:rPr>
          <w:b/>
          <w:bCs/>
          <w:sz w:val="18"/>
        </w:rPr>
        <w:t>R746-318-301.  Allocation of Transmission Costs.</w:t>
      </w:r>
    </w:p>
    <w:p w14:paraId="5FD55A78" w14:textId="77777777" w:rsidR="002F5E2A" w:rsidRPr="00435A54" w:rsidRDefault="002F5E2A" w:rsidP="002F5E2A">
      <w:pPr>
        <w:widowControl/>
        <w:suppressAutoHyphens/>
        <w:rPr>
          <w:sz w:val="18"/>
        </w:rPr>
      </w:pPr>
      <w:r w:rsidRPr="00435A54">
        <w:rPr>
          <w:sz w:val="18"/>
        </w:rPr>
        <w:tab/>
        <w:t>(1)  To the fullest extent allowable under applicable federal law and regulations, each interconnection and transmission-related study and any identified interconnection upgrades, transmission upgrades, network upgrades, distribution system upgrades, and system upgrades a qualified electric utility or large-scale generation provider will incur or pay to provide service to a large load customer shall be directly assigned to the large load customer.</w:t>
      </w:r>
    </w:p>
    <w:p w14:paraId="16FCA34F" w14:textId="77777777" w:rsidR="002F5E2A" w:rsidRPr="00435A54" w:rsidRDefault="002F5E2A" w:rsidP="002F5E2A">
      <w:pPr>
        <w:widowControl/>
        <w:suppressAutoHyphens/>
        <w:rPr>
          <w:sz w:val="18"/>
        </w:rPr>
      </w:pPr>
      <w:r w:rsidRPr="00435A54">
        <w:rPr>
          <w:sz w:val="18"/>
        </w:rPr>
        <w:tab/>
        <w:t xml:space="preserve">(2)  If a large load customer will be provided transmission service using a project that was previously identified as a part of the qualified electric utility's long-term transmission plan, the large load customer's share of project costs will be assigned </w:t>
      </w:r>
      <w:r w:rsidRPr="00435A54">
        <w:rPr>
          <w:sz w:val="18"/>
        </w:rPr>
        <w:lastRenderedPageBreak/>
        <w:t>to the large load customer giving consideration to the size of the project, project scope, the proportion of the project's transmission capacity the large load customer will use, and any impact on the transmission plan.</w:t>
      </w:r>
    </w:p>
    <w:p w14:paraId="7511CEE2" w14:textId="77777777" w:rsidR="002F5E2A" w:rsidRPr="00435A54" w:rsidRDefault="002F5E2A" w:rsidP="002F5E2A">
      <w:pPr>
        <w:widowControl/>
        <w:suppressAutoHyphens/>
        <w:rPr>
          <w:sz w:val="18"/>
        </w:rPr>
      </w:pPr>
      <w:r w:rsidRPr="00435A54">
        <w:rPr>
          <w:sz w:val="18"/>
        </w:rPr>
        <w:tab/>
        <w:t>(3)  To carry out this policy, an application for Commission approval of a large load contract that includes large load customer transmission costs shall provide:</w:t>
      </w:r>
    </w:p>
    <w:p w14:paraId="473AB55A" w14:textId="77777777" w:rsidR="002F5E2A" w:rsidRPr="00435A54" w:rsidRDefault="002F5E2A" w:rsidP="002F5E2A">
      <w:pPr>
        <w:widowControl/>
        <w:suppressAutoHyphens/>
        <w:rPr>
          <w:sz w:val="18"/>
        </w:rPr>
      </w:pPr>
      <w:r w:rsidRPr="00435A54">
        <w:rPr>
          <w:sz w:val="18"/>
        </w:rPr>
        <w:tab/>
        <w:t>(a)  evidence sufficient to allow the Commission to determine whether each incremental transmission cost is allocated to the large load customer, including:</w:t>
      </w:r>
    </w:p>
    <w:p w14:paraId="324C2446" w14:textId="77777777" w:rsidR="002F5E2A" w:rsidRPr="00435A54" w:rsidRDefault="002F5E2A" w:rsidP="002F5E2A">
      <w:pPr>
        <w:widowControl/>
        <w:suppressAutoHyphens/>
        <w:rPr>
          <w:sz w:val="18"/>
        </w:rPr>
      </w:pPr>
      <w:r w:rsidRPr="00435A54">
        <w:rPr>
          <w:sz w:val="18"/>
        </w:rPr>
        <w:tab/>
        <w:t>(</w:t>
      </w:r>
      <w:proofErr w:type="spellStart"/>
      <w:r w:rsidRPr="00435A54">
        <w:rPr>
          <w:sz w:val="18"/>
        </w:rPr>
        <w:t>i</w:t>
      </w:r>
      <w:proofErr w:type="spellEnd"/>
      <w:r w:rsidRPr="00435A54">
        <w:rPr>
          <w:sz w:val="18"/>
        </w:rPr>
        <w:t>)  a description of costs for transmission upgrades associated with providing service to a large load customer;</w:t>
      </w:r>
    </w:p>
    <w:p w14:paraId="2E185E75" w14:textId="77777777" w:rsidR="002F5E2A" w:rsidRPr="00435A54" w:rsidRDefault="002F5E2A" w:rsidP="002F5E2A">
      <w:pPr>
        <w:widowControl/>
        <w:suppressAutoHyphens/>
        <w:rPr>
          <w:sz w:val="18"/>
        </w:rPr>
      </w:pPr>
      <w:r w:rsidRPr="00435A54">
        <w:rPr>
          <w:sz w:val="18"/>
        </w:rPr>
        <w:tab/>
        <w:t>(ii)  a description of how the addition of the applicant's use will impact the qualified electric utility's transmission system, including:</w:t>
      </w:r>
    </w:p>
    <w:p w14:paraId="77EC7DDA" w14:textId="77777777" w:rsidR="002F5E2A" w:rsidRPr="00435A54" w:rsidRDefault="002F5E2A" w:rsidP="002F5E2A">
      <w:pPr>
        <w:widowControl/>
        <w:suppressAutoHyphens/>
        <w:rPr>
          <w:sz w:val="18"/>
        </w:rPr>
      </w:pPr>
      <w:r w:rsidRPr="00435A54">
        <w:rPr>
          <w:sz w:val="18"/>
        </w:rPr>
        <w:tab/>
        <w:t>(A)  the projected increase in electricity demand from the large load customer;</w:t>
      </w:r>
    </w:p>
    <w:p w14:paraId="46A4FBBF" w14:textId="77777777" w:rsidR="002F5E2A" w:rsidRPr="00435A54" w:rsidRDefault="002F5E2A" w:rsidP="002F5E2A">
      <w:pPr>
        <w:widowControl/>
        <w:suppressAutoHyphens/>
        <w:rPr>
          <w:sz w:val="18"/>
        </w:rPr>
      </w:pPr>
      <w:r w:rsidRPr="00435A54">
        <w:rPr>
          <w:sz w:val="18"/>
        </w:rPr>
        <w:tab/>
        <w:t>(B)  the transmission upgrades needed to meet the large load customer's transmission service needs;</w:t>
      </w:r>
    </w:p>
    <w:p w14:paraId="425AA96D" w14:textId="77777777" w:rsidR="002F5E2A" w:rsidRPr="00435A54" w:rsidRDefault="002F5E2A" w:rsidP="002F5E2A">
      <w:pPr>
        <w:widowControl/>
        <w:suppressAutoHyphens/>
        <w:rPr>
          <w:sz w:val="18"/>
        </w:rPr>
      </w:pPr>
      <w:r w:rsidRPr="00435A54">
        <w:rPr>
          <w:sz w:val="18"/>
        </w:rPr>
        <w:tab/>
        <w:t>(iii)  an explanation of if and how the qualified electric utility proposes to recover from ratepayers any transmission costs that are in excess to, and should not be directly assigned to, the large load customer; and</w:t>
      </w:r>
    </w:p>
    <w:p w14:paraId="2B2288AD" w14:textId="77777777" w:rsidR="002F5E2A" w:rsidRPr="00435A54" w:rsidRDefault="002F5E2A" w:rsidP="002F5E2A">
      <w:pPr>
        <w:widowControl/>
        <w:suppressAutoHyphens/>
        <w:rPr>
          <w:sz w:val="18"/>
        </w:rPr>
      </w:pPr>
      <w:r w:rsidRPr="00435A54">
        <w:rPr>
          <w:sz w:val="18"/>
        </w:rPr>
        <w:tab/>
        <w:t>(iv)  a description of how each incremental cost allocated to the large load customer can reasonably be expected to be recovered from the large load customer given the duration of the large load contract and any contractually required security or guarantees.</w:t>
      </w:r>
    </w:p>
    <w:p w14:paraId="66E212A9" w14:textId="77777777" w:rsidR="002F5E2A" w:rsidRPr="00435A54" w:rsidRDefault="002F5E2A" w:rsidP="002F5E2A">
      <w:pPr>
        <w:widowControl/>
        <w:suppressAutoHyphens/>
        <w:rPr>
          <w:sz w:val="18"/>
        </w:rPr>
      </w:pPr>
      <w:r w:rsidRPr="00435A54">
        <w:rPr>
          <w:sz w:val="18"/>
        </w:rPr>
        <w:tab/>
        <w:t>(4)  To determine whether the large load customer bears each incremental cost attributable to receiving the requested electric service, the Commission may consider the following non-exclusive list of factors:</w:t>
      </w:r>
    </w:p>
    <w:p w14:paraId="09F2D7FB" w14:textId="77777777" w:rsidR="002F5E2A" w:rsidRPr="00435A54" w:rsidRDefault="002F5E2A" w:rsidP="002F5E2A">
      <w:pPr>
        <w:widowControl/>
        <w:suppressAutoHyphens/>
        <w:rPr>
          <w:sz w:val="18"/>
        </w:rPr>
      </w:pPr>
      <w:r w:rsidRPr="00435A54">
        <w:rPr>
          <w:sz w:val="18"/>
        </w:rPr>
        <w:tab/>
        <w:t>(a)  the timing and extent of the relevant generation resources, distribution system upgrades, and any other costs that would not occur absent the large load contract;</w:t>
      </w:r>
    </w:p>
    <w:p w14:paraId="445471F4" w14:textId="77777777" w:rsidR="002F5E2A" w:rsidRPr="00435A54" w:rsidRDefault="002F5E2A" w:rsidP="002F5E2A">
      <w:pPr>
        <w:widowControl/>
        <w:suppressAutoHyphens/>
        <w:rPr>
          <w:sz w:val="18"/>
        </w:rPr>
      </w:pPr>
      <w:r w:rsidRPr="00435A54">
        <w:rPr>
          <w:sz w:val="18"/>
        </w:rPr>
        <w:tab/>
        <w:t>(b)  the extent to which the large load contract will change the costs, timing, and efficacy of any project that was already planned; and</w:t>
      </w:r>
    </w:p>
    <w:p w14:paraId="76A47933" w14:textId="77777777" w:rsidR="002F5E2A" w:rsidRPr="00435A54" w:rsidRDefault="002F5E2A" w:rsidP="002F5E2A">
      <w:pPr>
        <w:widowControl/>
        <w:suppressAutoHyphens/>
        <w:rPr>
          <w:sz w:val="18"/>
        </w:rPr>
      </w:pPr>
      <w:r w:rsidRPr="00435A54">
        <w:rPr>
          <w:sz w:val="18"/>
        </w:rPr>
        <w:tab/>
        <w:t>(c)  how each of these factors might affect rate base and customer rates.</w:t>
      </w:r>
    </w:p>
    <w:p w14:paraId="1ECA9862" w14:textId="77777777" w:rsidR="002F5E2A" w:rsidRPr="00435A54" w:rsidRDefault="002F5E2A" w:rsidP="002F5E2A">
      <w:pPr>
        <w:widowControl/>
        <w:suppressAutoHyphens/>
        <w:autoSpaceDE/>
        <w:autoSpaceDN/>
        <w:adjustRightInd/>
        <w:rPr>
          <w:bCs/>
          <w:sz w:val="18"/>
        </w:rPr>
      </w:pPr>
    </w:p>
    <w:p w14:paraId="5D44AF02" w14:textId="77777777" w:rsidR="002F5E2A" w:rsidRPr="00435A54" w:rsidRDefault="002F5E2A" w:rsidP="002F5E2A">
      <w:pPr>
        <w:widowControl/>
        <w:suppressAutoHyphens/>
        <w:autoSpaceDE/>
        <w:autoSpaceDN/>
        <w:adjustRightInd/>
        <w:rPr>
          <w:bCs/>
          <w:sz w:val="18"/>
        </w:rPr>
      </w:pPr>
      <w:r w:rsidRPr="00435A54">
        <w:rPr>
          <w:b/>
          <w:bCs/>
          <w:sz w:val="18"/>
        </w:rPr>
        <w:t>R746-318-401.  Registration Requirements for Large-Scale Generation Providers.</w:t>
      </w:r>
    </w:p>
    <w:p w14:paraId="2EFABD8A" w14:textId="77777777" w:rsidR="002F5E2A" w:rsidRPr="00435A54" w:rsidRDefault="002F5E2A" w:rsidP="002F5E2A">
      <w:pPr>
        <w:widowControl/>
        <w:suppressAutoHyphens/>
        <w:autoSpaceDE/>
        <w:autoSpaceDN/>
        <w:adjustRightInd/>
        <w:rPr>
          <w:sz w:val="18"/>
        </w:rPr>
      </w:pPr>
      <w:r w:rsidRPr="00435A54">
        <w:rPr>
          <w:sz w:val="18"/>
        </w:rPr>
        <w:tab/>
        <w:t>(1)  To register with the Commission, a large-scale generation provider shall submit to the Commission notice of its registration, including the information and documentation that Subsection 54-26-501(2) requires.</w:t>
      </w:r>
    </w:p>
    <w:p w14:paraId="64461A7E" w14:textId="77777777" w:rsidR="002F5E2A" w:rsidRPr="00435A54" w:rsidRDefault="002F5E2A" w:rsidP="002F5E2A">
      <w:pPr>
        <w:widowControl/>
        <w:suppressAutoHyphens/>
        <w:autoSpaceDE/>
        <w:autoSpaceDN/>
        <w:adjustRightInd/>
        <w:rPr>
          <w:sz w:val="18"/>
        </w:rPr>
      </w:pPr>
      <w:r w:rsidRPr="00435A54">
        <w:rPr>
          <w:sz w:val="18"/>
        </w:rPr>
        <w:tab/>
        <w:t>(2)  When submitting a notice of registration, the large-scale generation provider will be considered an applicant under Section R746-318-103 and may designate information as confidential, highly confidential, or regulator access only.</w:t>
      </w:r>
    </w:p>
    <w:p w14:paraId="707338ED" w14:textId="77777777" w:rsidR="002F5E2A" w:rsidRPr="00435A54" w:rsidRDefault="002F5E2A" w:rsidP="002F5E2A">
      <w:pPr>
        <w:widowControl/>
        <w:suppressAutoHyphens/>
        <w:autoSpaceDE/>
        <w:autoSpaceDN/>
        <w:adjustRightInd/>
        <w:rPr>
          <w:sz w:val="18"/>
        </w:rPr>
      </w:pPr>
      <w:r w:rsidRPr="00435A54">
        <w:rPr>
          <w:sz w:val="18"/>
        </w:rPr>
        <w:tab/>
        <w:t>(3)  The Commission will assign each notice of registration a unique docket number, post the filing to the Commission's website under that docket number, and distribute electronic copies to stakeholders consistent with its standard practice.</w:t>
      </w:r>
    </w:p>
    <w:p w14:paraId="0F5BBE2F" w14:textId="77777777" w:rsidR="002F5E2A" w:rsidRPr="00435A54" w:rsidRDefault="002F5E2A" w:rsidP="002F5E2A">
      <w:pPr>
        <w:widowControl/>
        <w:suppressAutoHyphens/>
        <w:autoSpaceDE/>
        <w:autoSpaceDN/>
        <w:adjustRightInd/>
        <w:rPr>
          <w:sz w:val="18"/>
        </w:rPr>
      </w:pPr>
      <w:r w:rsidRPr="00435A54">
        <w:rPr>
          <w:sz w:val="18"/>
        </w:rPr>
        <w:tab/>
        <w:t>(4)  To the extent the large-scale generation provider elects to designate any information contained in its notice of registration as confidential, highly confidential, or regulator access only, it shall include an additional, redacted version of the information for inclusion in the publicly accessible docket.</w:t>
      </w:r>
    </w:p>
    <w:p w14:paraId="4D9BBBB5" w14:textId="77777777" w:rsidR="002F5E2A" w:rsidRPr="00435A54" w:rsidRDefault="002F5E2A" w:rsidP="002F5E2A">
      <w:pPr>
        <w:widowControl/>
        <w:suppressAutoHyphens/>
        <w:autoSpaceDE/>
        <w:autoSpaceDN/>
        <w:adjustRightInd/>
        <w:rPr>
          <w:sz w:val="18"/>
        </w:rPr>
      </w:pPr>
      <w:r w:rsidRPr="00435A54">
        <w:rPr>
          <w:sz w:val="18"/>
        </w:rPr>
        <w:tab/>
        <w:t>(5)  Any person may submit notice to the Commission, at any time, that a registered large-scale generation provider has failed or is failing to comply with the requirements of Title 54, Chapter 26, Large-Scale Electric Service Requirements, after which the Commission may initiate an investigation or issue a notice of deficiency.</w:t>
      </w:r>
    </w:p>
    <w:p w14:paraId="6A7CF627" w14:textId="77777777" w:rsidR="002F5E2A" w:rsidRPr="00435A54" w:rsidRDefault="002F5E2A" w:rsidP="002F5E2A">
      <w:pPr>
        <w:widowControl/>
        <w:suppressAutoHyphens/>
        <w:autoSpaceDE/>
        <w:autoSpaceDN/>
        <w:adjustRightInd/>
        <w:rPr>
          <w:sz w:val="18"/>
        </w:rPr>
      </w:pPr>
      <w:r w:rsidRPr="00435A54">
        <w:rPr>
          <w:sz w:val="18"/>
        </w:rPr>
        <w:tab/>
        <w:t>(6)  If, at any time, the Commission determines that a registered large-scale generation provider has failed or is failing to comply with any requirement of Title 54, Chapter 26, Large-Scale Electric Service Requirements, the Commission will provide notice of the deficiency to the registered large-scale generation provider.</w:t>
      </w:r>
    </w:p>
    <w:p w14:paraId="56FC297B" w14:textId="77777777" w:rsidR="002F5E2A" w:rsidRPr="00435A54" w:rsidRDefault="002F5E2A" w:rsidP="002F5E2A">
      <w:pPr>
        <w:widowControl/>
        <w:suppressAutoHyphens/>
        <w:autoSpaceDE/>
        <w:autoSpaceDN/>
        <w:adjustRightInd/>
        <w:rPr>
          <w:sz w:val="18"/>
        </w:rPr>
      </w:pPr>
      <w:r w:rsidRPr="00435A54">
        <w:rPr>
          <w:sz w:val="18"/>
        </w:rPr>
        <w:tab/>
        <w:t>(7)  A notice of deficiency will allow the large-scale generation provider 90 days to remedy the deficiency and may impose reasonable conditions on the large-scale generation provider's registration status during that 90-day period.</w:t>
      </w:r>
    </w:p>
    <w:p w14:paraId="22D0426E" w14:textId="77777777" w:rsidR="002F5E2A" w:rsidRPr="00435A54" w:rsidRDefault="002F5E2A" w:rsidP="002F5E2A">
      <w:pPr>
        <w:widowControl/>
        <w:suppressAutoHyphens/>
        <w:autoSpaceDE/>
        <w:autoSpaceDN/>
        <w:adjustRightInd/>
        <w:rPr>
          <w:sz w:val="18"/>
        </w:rPr>
      </w:pPr>
      <w:r w:rsidRPr="00435A54">
        <w:rPr>
          <w:sz w:val="18"/>
        </w:rPr>
        <w:tab/>
        <w:t>(8)  If the large-scale generation provider fails to remedy any deficiency within the 90 days allowed after a notice of deficiency, the Commission may suspend or revoke the large-scale generation provider's registration status.</w:t>
      </w:r>
    </w:p>
    <w:p w14:paraId="2A913B45" w14:textId="77777777" w:rsidR="002F5E2A" w:rsidRPr="00435A54" w:rsidRDefault="002F5E2A" w:rsidP="002F5E2A">
      <w:pPr>
        <w:widowControl/>
        <w:suppressAutoHyphens/>
        <w:autoSpaceDE/>
        <w:autoSpaceDN/>
        <w:adjustRightInd/>
        <w:rPr>
          <w:sz w:val="18"/>
        </w:rPr>
      </w:pPr>
      <w:r w:rsidRPr="00435A54">
        <w:rPr>
          <w:sz w:val="18"/>
        </w:rPr>
        <w:tab/>
        <w:t>(9)  To protect system reliability and Utah ratepayers in accordance with the law, the Commission may direct a large-scale generation provider to provide information regarding any material changes to its credit worthiness or technical capabilities, since the time of its registration, when reviewing any large load contract or private generation contract.</w:t>
      </w:r>
    </w:p>
    <w:p w14:paraId="209BA095" w14:textId="77777777" w:rsidR="002F5E2A" w:rsidRPr="00435A54" w:rsidRDefault="002F5E2A" w:rsidP="002F5E2A">
      <w:pPr>
        <w:widowControl/>
        <w:suppressAutoHyphens/>
        <w:autoSpaceDE/>
        <w:autoSpaceDN/>
        <w:adjustRightInd/>
        <w:rPr>
          <w:bCs/>
          <w:sz w:val="18"/>
        </w:rPr>
      </w:pPr>
    </w:p>
    <w:p w14:paraId="0D6C37CB" w14:textId="77777777" w:rsidR="002F5E2A" w:rsidRPr="00435A54" w:rsidRDefault="002F5E2A" w:rsidP="002F5E2A">
      <w:pPr>
        <w:widowControl/>
        <w:suppressAutoHyphens/>
        <w:autoSpaceDE/>
        <w:autoSpaceDN/>
        <w:adjustRightInd/>
        <w:rPr>
          <w:bCs/>
          <w:sz w:val="18"/>
        </w:rPr>
      </w:pPr>
      <w:r w:rsidRPr="00435A54">
        <w:rPr>
          <w:b/>
          <w:bCs/>
          <w:sz w:val="18"/>
        </w:rPr>
        <w:t>R746-318-402.  Notice to Large Load Customers.</w:t>
      </w:r>
    </w:p>
    <w:p w14:paraId="0BA51B0D" w14:textId="77777777" w:rsidR="002F5E2A" w:rsidRPr="00435A54" w:rsidRDefault="002F5E2A" w:rsidP="002F5E2A">
      <w:pPr>
        <w:widowControl/>
        <w:suppressAutoHyphens/>
        <w:autoSpaceDE/>
        <w:autoSpaceDN/>
        <w:adjustRightInd/>
        <w:rPr>
          <w:sz w:val="18"/>
        </w:rPr>
      </w:pPr>
      <w:r w:rsidRPr="00435A54">
        <w:rPr>
          <w:sz w:val="18"/>
        </w:rPr>
        <w:tab/>
        <w:t>(1)  A registered large-scale generation provider shall provide notice to any potential large load customer of any conditions imposed on its registration by the Commission.</w:t>
      </w:r>
    </w:p>
    <w:p w14:paraId="580B6CF5" w14:textId="77777777" w:rsidR="002F5E2A" w:rsidRPr="00435A54" w:rsidRDefault="002F5E2A" w:rsidP="002F5E2A">
      <w:pPr>
        <w:widowControl/>
        <w:suppressAutoHyphens/>
        <w:autoSpaceDE/>
        <w:autoSpaceDN/>
        <w:adjustRightInd/>
        <w:rPr>
          <w:sz w:val="18"/>
        </w:rPr>
      </w:pPr>
      <w:r w:rsidRPr="00435A54">
        <w:rPr>
          <w:sz w:val="18"/>
        </w:rPr>
        <w:tab/>
        <w:t>(2)  A registered large-scale generation provider shall include in each large load contract or private generation contract notice to the large load customer of the following:</w:t>
      </w:r>
    </w:p>
    <w:p w14:paraId="495FC56D" w14:textId="77777777" w:rsidR="002F5E2A" w:rsidRPr="00435A54" w:rsidRDefault="002F5E2A" w:rsidP="002F5E2A">
      <w:pPr>
        <w:widowControl/>
        <w:suppressAutoHyphens/>
        <w:rPr>
          <w:sz w:val="18"/>
        </w:rPr>
      </w:pPr>
      <w:r w:rsidRPr="00435A54">
        <w:rPr>
          <w:sz w:val="18"/>
        </w:rPr>
        <w:tab/>
        <w:t>(a)  if the large-scale generation provider fails to comply with its legal requirements under Title 54, Chapter 26, Large-Scale Electric Service Requirements, the Commission may suspend or revoke the large-scale generation provider's registration and prohibit it from continuing to provide service after the large load customer is given reasonable opportunity to secure alternative service;</w:t>
      </w:r>
    </w:p>
    <w:p w14:paraId="7A25B8F1" w14:textId="77777777" w:rsidR="002F5E2A" w:rsidRPr="00435A54" w:rsidRDefault="002F5E2A" w:rsidP="002F5E2A">
      <w:pPr>
        <w:widowControl/>
        <w:suppressAutoHyphens/>
        <w:rPr>
          <w:sz w:val="18"/>
        </w:rPr>
      </w:pPr>
      <w:r w:rsidRPr="00435A54">
        <w:rPr>
          <w:sz w:val="18"/>
        </w:rPr>
        <w:tab/>
        <w:t>(b)  the large load customer's load is subject to curtailment if the large load customer's demand exceeds the real-time dispatch of the large-scale generation provider's resources under the large load contract, net of transmission losses;</w:t>
      </w:r>
    </w:p>
    <w:p w14:paraId="1434E74C" w14:textId="77777777" w:rsidR="002F5E2A" w:rsidRPr="00435A54" w:rsidRDefault="002F5E2A" w:rsidP="002F5E2A">
      <w:pPr>
        <w:widowControl/>
        <w:suppressAutoHyphens/>
        <w:rPr>
          <w:sz w:val="18"/>
        </w:rPr>
      </w:pPr>
      <w:r w:rsidRPr="00435A54">
        <w:rPr>
          <w:sz w:val="18"/>
        </w:rPr>
        <w:tab/>
        <w:t>(c)  except as explicitly provided in a large load contract, the qualified electric utility has no duty to serve a large load customer that has entered into a large load contract with a large-scale generation provider; and</w:t>
      </w:r>
    </w:p>
    <w:p w14:paraId="4C99F7E5" w14:textId="77777777" w:rsidR="002F5E2A" w:rsidRPr="00435A54" w:rsidRDefault="002F5E2A" w:rsidP="002F5E2A">
      <w:pPr>
        <w:widowControl/>
        <w:suppressAutoHyphens/>
        <w:rPr>
          <w:sz w:val="18"/>
        </w:rPr>
      </w:pPr>
      <w:r w:rsidRPr="00435A54">
        <w:rPr>
          <w:sz w:val="18"/>
        </w:rPr>
        <w:lastRenderedPageBreak/>
        <w:tab/>
        <w:t>(d)  except as explicitly provided in a large load contract, the qualified electric utility is not required to provide backup power to a large load customer that has entered into a large load contract with a large-scale generation provider.</w:t>
      </w:r>
    </w:p>
    <w:p w14:paraId="49C7E941" w14:textId="77777777" w:rsidR="002F5E2A" w:rsidRPr="00435A54" w:rsidRDefault="002F5E2A" w:rsidP="002F5E2A">
      <w:pPr>
        <w:widowControl/>
        <w:suppressAutoHyphens/>
        <w:autoSpaceDE/>
        <w:autoSpaceDN/>
        <w:adjustRightInd/>
        <w:rPr>
          <w:sz w:val="18"/>
        </w:rPr>
      </w:pPr>
    </w:p>
    <w:p w14:paraId="154C2D05" w14:textId="77777777" w:rsidR="002F5E2A" w:rsidRPr="00435A54" w:rsidRDefault="002F5E2A" w:rsidP="002F5E2A">
      <w:pPr>
        <w:widowControl/>
        <w:suppressAutoHyphens/>
        <w:autoSpaceDE/>
        <w:autoSpaceDN/>
        <w:adjustRightInd/>
        <w:rPr>
          <w:bCs/>
          <w:sz w:val="18"/>
        </w:rPr>
      </w:pPr>
      <w:r w:rsidRPr="00435A54">
        <w:rPr>
          <w:b/>
          <w:bCs/>
          <w:sz w:val="18"/>
        </w:rPr>
        <w:t>R746-318-501.  Additional Filing Requirements for Large-Scale Generation Providers with a Connected Generation System.</w:t>
      </w:r>
    </w:p>
    <w:p w14:paraId="2667DA75" w14:textId="77777777" w:rsidR="002F5E2A" w:rsidRPr="00435A54" w:rsidRDefault="002F5E2A" w:rsidP="002F5E2A">
      <w:pPr>
        <w:widowControl/>
        <w:suppressAutoHyphens/>
        <w:autoSpaceDE/>
        <w:autoSpaceDN/>
        <w:adjustRightInd/>
        <w:rPr>
          <w:sz w:val="18"/>
        </w:rPr>
      </w:pPr>
      <w:r w:rsidRPr="00435A54">
        <w:rPr>
          <w:sz w:val="18"/>
        </w:rPr>
        <w:tab/>
        <w:t>(1)  This section applies to electric service a large-scale generation provider provides to a large load customer through a connected generation system.</w:t>
      </w:r>
    </w:p>
    <w:p w14:paraId="79347279" w14:textId="77777777" w:rsidR="002F5E2A" w:rsidRPr="00435A54" w:rsidRDefault="002F5E2A" w:rsidP="002F5E2A">
      <w:pPr>
        <w:widowControl/>
        <w:suppressAutoHyphens/>
        <w:autoSpaceDE/>
        <w:autoSpaceDN/>
        <w:adjustRightInd/>
        <w:rPr>
          <w:sz w:val="18"/>
        </w:rPr>
      </w:pPr>
      <w:r w:rsidRPr="00435A54">
        <w:rPr>
          <w:sz w:val="18"/>
        </w:rPr>
        <w:tab/>
        <w:t>(2)  In addition to the requirements of Section R746-318-201, an application for approval of a large load contract between a large-scale generation provider and a large load customer shall include:</w:t>
      </w:r>
    </w:p>
    <w:p w14:paraId="6C188018" w14:textId="77777777" w:rsidR="002F5E2A" w:rsidRPr="00435A54" w:rsidRDefault="002F5E2A" w:rsidP="002F5E2A">
      <w:pPr>
        <w:widowControl/>
        <w:suppressAutoHyphens/>
        <w:rPr>
          <w:sz w:val="18"/>
        </w:rPr>
      </w:pPr>
      <w:r w:rsidRPr="00435A54">
        <w:rPr>
          <w:sz w:val="18"/>
        </w:rPr>
        <w:tab/>
        <w:t>(a)  evidence showing the large-scale generation provider satisfies the requirements of Subsection 54-26-505(2);</w:t>
      </w:r>
    </w:p>
    <w:p w14:paraId="02F7078B" w14:textId="77777777" w:rsidR="002F5E2A" w:rsidRPr="00435A54" w:rsidRDefault="002F5E2A" w:rsidP="002F5E2A">
      <w:pPr>
        <w:widowControl/>
        <w:suppressAutoHyphens/>
        <w:rPr>
          <w:sz w:val="18"/>
        </w:rPr>
      </w:pPr>
      <w:r w:rsidRPr="00435A54">
        <w:rPr>
          <w:sz w:val="18"/>
        </w:rPr>
        <w:tab/>
        <w:t>(b)  evidence showing the large load customer has met the requirements of Subsection 54-26-402(1);</w:t>
      </w:r>
    </w:p>
    <w:p w14:paraId="59E9057C" w14:textId="77777777" w:rsidR="002F5E2A" w:rsidRPr="00435A54" w:rsidRDefault="002F5E2A" w:rsidP="002F5E2A">
      <w:pPr>
        <w:widowControl/>
        <w:suppressAutoHyphens/>
        <w:rPr>
          <w:sz w:val="18"/>
        </w:rPr>
      </w:pPr>
      <w:r w:rsidRPr="00435A54">
        <w:rPr>
          <w:sz w:val="18"/>
        </w:rPr>
        <w:tab/>
        <w:t>(c)  evidence showing the large-scale generation provider will serve the large load customer using only qualifying generation resources;</w:t>
      </w:r>
    </w:p>
    <w:p w14:paraId="5B844369" w14:textId="77777777" w:rsidR="002F5E2A" w:rsidRPr="00435A54" w:rsidRDefault="002F5E2A" w:rsidP="002F5E2A">
      <w:pPr>
        <w:widowControl/>
        <w:suppressAutoHyphens/>
        <w:rPr>
          <w:sz w:val="18"/>
        </w:rPr>
      </w:pPr>
      <w:r w:rsidRPr="00435A54">
        <w:rPr>
          <w:sz w:val="18"/>
        </w:rPr>
        <w:tab/>
        <w:t>(d)  evidence showing the large-scale generation provider has delivered the notices Section R746-318-402 requires;</w:t>
      </w:r>
    </w:p>
    <w:p w14:paraId="7C1AEA0F" w14:textId="77777777" w:rsidR="002F5E2A" w:rsidRPr="00435A54" w:rsidRDefault="002F5E2A" w:rsidP="002F5E2A">
      <w:pPr>
        <w:widowControl/>
        <w:suppressAutoHyphens/>
        <w:rPr>
          <w:sz w:val="18"/>
        </w:rPr>
      </w:pPr>
      <w:r w:rsidRPr="00435A54">
        <w:rPr>
          <w:sz w:val="18"/>
        </w:rPr>
        <w:tab/>
        <w:t>(e)  a declaration from the large-scale generation provider, including a summary of supporting evidence, attesting that either:</w:t>
      </w:r>
    </w:p>
    <w:p w14:paraId="2F923644" w14:textId="77777777" w:rsidR="002F5E2A" w:rsidRPr="00435A54" w:rsidRDefault="002F5E2A" w:rsidP="002F5E2A">
      <w:pPr>
        <w:widowControl/>
        <w:suppressAutoHyphens/>
        <w:rPr>
          <w:sz w:val="18"/>
        </w:rPr>
      </w:pPr>
      <w:r w:rsidRPr="00435A54">
        <w:rPr>
          <w:sz w:val="18"/>
        </w:rPr>
        <w:tab/>
        <w:t>(</w:t>
      </w:r>
      <w:proofErr w:type="spellStart"/>
      <w:r w:rsidRPr="00435A54">
        <w:rPr>
          <w:sz w:val="18"/>
        </w:rPr>
        <w:t>i</w:t>
      </w:r>
      <w:proofErr w:type="spellEnd"/>
      <w:r w:rsidRPr="00435A54">
        <w:rPr>
          <w:sz w:val="18"/>
        </w:rPr>
        <w:t>)  no costs associated with large load facilities will be incurred by the qualified electric utility in conjunction with the large load contract; or</w:t>
      </w:r>
    </w:p>
    <w:p w14:paraId="17388913" w14:textId="77777777" w:rsidR="002F5E2A" w:rsidRPr="00435A54" w:rsidRDefault="002F5E2A" w:rsidP="002F5E2A">
      <w:pPr>
        <w:widowControl/>
        <w:suppressAutoHyphens/>
        <w:rPr>
          <w:sz w:val="18"/>
        </w:rPr>
      </w:pPr>
      <w:r w:rsidRPr="00435A54">
        <w:rPr>
          <w:sz w:val="18"/>
        </w:rPr>
        <w:tab/>
        <w:t>(ii)  the large-scale generation provider or large load customer has entered a large load construction agreement to reimburse the costs of any necessary large load facilities;</w:t>
      </w:r>
    </w:p>
    <w:p w14:paraId="6EEF647B" w14:textId="77777777" w:rsidR="002F5E2A" w:rsidRPr="00435A54" w:rsidRDefault="002F5E2A" w:rsidP="002F5E2A">
      <w:pPr>
        <w:widowControl/>
        <w:suppressAutoHyphens/>
        <w:rPr>
          <w:sz w:val="18"/>
        </w:rPr>
      </w:pPr>
      <w:r w:rsidRPr="00435A54">
        <w:rPr>
          <w:sz w:val="18"/>
        </w:rPr>
        <w:tab/>
        <w:t>(f)  a declaration from the qualified electric utility, including a summary of supporting evidence that either:</w:t>
      </w:r>
    </w:p>
    <w:p w14:paraId="70EEC6EE" w14:textId="77777777" w:rsidR="002F5E2A" w:rsidRPr="00435A54" w:rsidRDefault="002F5E2A" w:rsidP="002F5E2A">
      <w:pPr>
        <w:widowControl/>
        <w:suppressAutoHyphens/>
        <w:rPr>
          <w:sz w:val="18"/>
        </w:rPr>
      </w:pPr>
      <w:r w:rsidRPr="00435A54">
        <w:rPr>
          <w:sz w:val="18"/>
        </w:rPr>
        <w:tab/>
        <w:t>(</w:t>
      </w:r>
      <w:proofErr w:type="spellStart"/>
      <w:r w:rsidRPr="00435A54">
        <w:rPr>
          <w:sz w:val="18"/>
        </w:rPr>
        <w:t>i</w:t>
      </w:r>
      <w:proofErr w:type="spellEnd"/>
      <w:r w:rsidRPr="00435A54">
        <w:rPr>
          <w:sz w:val="18"/>
        </w:rPr>
        <w:t>)  no electric service is requested at this time to be provided by the qualified electric utility in conjunction with the large load contract; or</w:t>
      </w:r>
    </w:p>
    <w:p w14:paraId="1352893B" w14:textId="77777777" w:rsidR="002F5E2A" w:rsidRPr="00435A54" w:rsidRDefault="002F5E2A" w:rsidP="002F5E2A">
      <w:pPr>
        <w:widowControl/>
        <w:suppressAutoHyphens/>
        <w:rPr>
          <w:sz w:val="18"/>
        </w:rPr>
      </w:pPr>
      <w:r w:rsidRPr="00435A54">
        <w:rPr>
          <w:sz w:val="18"/>
        </w:rPr>
        <w:tab/>
        <w:t>(ii)  the large-scale generation provider or large load customer has entered a large load service agreement for the provision of any necessary electric services from the qualified electric utility in conjunction with the large load contract; and</w:t>
      </w:r>
    </w:p>
    <w:p w14:paraId="60675E25" w14:textId="77777777" w:rsidR="002F5E2A" w:rsidRPr="00435A54" w:rsidRDefault="002F5E2A" w:rsidP="002F5E2A">
      <w:pPr>
        <w:widowControl/>
        <w:suppressAutoHyphens/>
        <w:rPr>
          <w:sz w:val="18"/>
        </w:rPr>
      </w:pPr>
      <w:r w:rsidRPr="00435A54">
        <w:rPr>
          <w:sz w:val="18"/>
        </w:rPr>
        <w:tab/>
        <w:t>(iii)  the qualified electric utility has had an opportunity to review an appropriately redacted version of the large load contract and the qualified electric utility concurs with the applicant that the conditions contemplated in Subsections R746-318-501(2)(b) through (c) are satisfied.</w:t>
      </w:r>
    </w:p>
    <w:p w14:paraId="789396BE" w14:textId="77777777" w:rsidR="002F5E2A" w:rsidRPr="00435A54" w:rsidRDefault="002F5E2A" w:rsidP="002F5E2A">
      <w:pPr>
        <w:widowControl/>
        <w:suppressAutoHyphens/>
        <w:rPr>
          <w:sz w:val="18"/>
        </w:rPr>
      </w:pPr>
      <w:r w:rsidRPr="00435A54">
        <w:rPr>
          <w:sz w:val="18"/>
        </w:rPr>
        <w:tab/>
        <w:t>(g)  evidence the large-scale generation provider has established curtailment processes with the large load customer in the large load contract if the large load customer's demand exceeds the real-time dispatch of the large-scale generation provider's resources under the large load contract, net of transmission losses.</w:t>
      </w:r>
    </w:p>
    <w:p w14:paraId="510AE70A" w14:textId="77777777" w:rsidR="002F5E2A" w:rsidRPr="00435A54" w:rsidRDefault="002F5E2A" w:rsidP="002F5E2A">
      <w:pPr>
        <w:widowControl/>
        <w:suppressAutoHyphens/>
        <w:rPr>
          <w:sz w:val="18"/>
        </w:rPr>
      </w:pPr>
      <w:r w:rsidRPr="00435A54">
        <w:rPr>
          <w:sz w:val="18"/>
        </w:rPr>
        <w:tab/>
        <w:t>(3)  If an applicant cannot get the declaration required by Subsection R746-318-501(2)(f), after making a reasonable and good faith effort to do so, the applicant may submit a petition to the Commission to require the qualified electric utility to show cause as to the basis for withholding the required declaration, and the Commission may waive the filing requirement under Subsection R746-318-501(2)(f) if the qualified electric utility fails to demonstrate a reasonable basis for the withholding.</w:t>
      </w:r>
    </w:p>
    <w:p w14:paraId="2A4E59C1" w14:textId="77777777" w:rsidR="002F5E2A" w:rsidRPr="00435A54" w:rsidRDefault="002F5E2A" w:rsidP="002F5E2A">
      <w:pPr>
        <w:widowControl/>
        <w:suppressAutoHyphens/>
        <w:autoSpaceDE/>
        <w:autoSpaceDN/>
        <w:adjustRightInd/>
        <w:rPr>
          <w:bCs/>
          <w:sz w:val="18"/>
        </w:rPr>
      </w:pPr>
    </w:p>
    <w:p w14:paraId="1AD602E7" w14:textId="77777777" w:rsidR="002F5E2A" w:rsidRPr="00435A54" w:rsidRDefault="002F5E2A" w:rsidP="002F5E2A">
      <w:pPr>
        <w:widowControl/>
        <w:suppressAutoHyphens/>
        <w:autoSpaceDE/>
        <w:autoSpaceDN/>
        <w:adjustRightInd/>
        <w:rPr>
          <w:bCs/>
          <w:sz w:val="18"/>
        </w:rPr>
      </w:pPr>
      <w:r w:rsidRPr="00435A54">
        <w:rPr>
          <w:b/>
          <w:bCs/>
          <w:sz w:val="18"/>
        </w:rPr>
        <w:t>R746-318-601.  Additional Filing Requirements for Large-Scale Generation Providers with a Closed Private Generation System.</w:t>
      </w:r>
    </w:p>
    <w:p w14:paraId="1F3A1DD4" w14:textId="77777777" w:rsidR="002F5E2A" w:rsidRPr="00435A54" w:rsidRDefault="002F5E2A" w:rsidP="002F5E2A">
      <w:pPr>
        <w:widowControl/>
        <w:suppressAutoHyphens/>
        <w:rPr>
          <w:sz w:val="18"/>
        </w:rPr>
      </w:pPr>
      <w:r w:rsidRPr="00435A54">
        <w:rPr>
          <w:sz w:val="18"/>
        </w:rPr>
        <w:tab/>
        <w:t>(1)  This section applies to electric service a large-scale generation provider provides to a large load customer through a closed private generation system.</w:t>
      </w:r>
    </w:p>
    <w:p w14:paraId="1397138D" w14:textId="77777777" w:rsidR="002F5E2A" w:rsidRPr="00435A54" w:rsidRDefault="002F5E2A" w:rsidP="002F5E2A">
      <w:pPr>
        <w:widowControl/>
        <w:suppressAutoHyphens/>
        <w:rPr>
          <w:sz w:val="18"/>
        </w:rPr>
      </w:pPr>
      <w:r w:rsidRPr="00435A54">
        <w:rPr>
          <w:sz w:val="18"/>
        </w:rPr>
        <w:tab/>
        <w:t>(2)  In addition to the requirements of Section R746-318-201, a large-scale generation provider shall submit a copy of the private generation contract for the Commission's approval and the following:</w:t>
      </w:r>
    </w:p>
    <w:p w14:paraId="25D5D148" w14:textId="77777777" w:rsidR="002F5E2A" w:rsidRPr="00435A54" w:rsidRDefault="002F5E2A" w:rsidP="002F5E2A">
      <w:pPr>
        <w:widowControl/>
        <w:suppressAutoHyphens/>
        <w:rPr>
          <w:sz w:val="18"/>
        </w:rPr>
      </w:pPr>
      <w:r w:rsidRPr="00435A54">
        <w:rPr>
          <w:sz w:val="18"/>
        </w:rPr>
        <w:tab/>
        <w:t>(a)  evidence the large-scale generation provider is registered consistent with Section 54-26-501 and Section R746-318-401;</w:t>
      </w:r>
    </w:p>
    <w:p w14:paraId="16CA6E75" w14:textId="77777777" w:rsidR="002F5E2A" w:rsidRPr="00435A54" w:rsidRDefault="002F5E2A" w:rsidP="002F5E2A">
      <w:pPr>
        <w:widowControl/>
        <w:suppressAutoHyphens/>
        <w:rPr>
          <w:sz w:val="18"/>
        </w:rPr>
      </w:pPr>
      <w:r w:rsidRPr="00435A54">
        <w:rPr>
          <w:sz w:val="18"/>
        </w:rPr>
        <w:tab/>
        <w:t>(b)  evidence the large-scale generation provider satisfies the requirements of Subsection 54-26-505(2);</w:t>
      </w:r>
    </w:p>
    <w:p w14:paraId="6EFC33ED" w14:textId="77777777" w:rsidR="002F5E2A" w:rsidRPr="00435A54" w:rsidRDefault="002F5E2A" w:rsidP="002F5E2A">
      <w:pPr>
        <w:widowControl/>
        <w:suppressAutoHyphens/>
        <w:rPr>
          <w:sz w:val="18"/>
        </w:rPr>
      </w:pPr>
      <w:r w:rsidRPr="00435A54">
        <w:rPr>
          <w:sz w:val="18"/>
        </w:rPr>
        <w:tab/>
        <w:t>(c)  evidence the large-scale generation provider will serve the large load customer using only qualifying generation resources;</w:t>
      </w:r>
    </w:p>
    <w:p w14:paraId="5C60F87E" w14:textId="77777777" w:rsidR="002F5E2A" w:rsidRPr="00435A54" w:rsidRDefault="002F5E2A" w:rsidP="002F5E2A">
      <w:pPr>
        <w:widowControl/>
        <w:suppressAutoHyphens/>
        <w:rPr>
          <w:sz w:val="18"/>
        </w:rPr>
      </w:pPr>
      <w:r w:rsidRPr="00435A54">
        <w:rPr>
          <w:sz w:val="18"/>
        </w:rPr>
        <w:tab/>
        <w:t>(d)  a declaration from the qualified electric utility, including a summary of supporting evidence, that the closed private generation system will operate with complete separation from the qualified electric utility's system; and</w:t>
      </w:r>
    </w:p>
    <w:p w14:paraId="0F29DB1C" w14:textId="77777777" w:rsidR="002F5E2A" w:rsidRPr="00435A54" w:rsidRDefault="002F5E2A" w:rsidP="002F5E2A">
      <w:pPr>
        <w:widowControl/>
        <w:suppressAutoHyphens/>
        <w:rPr>
          <w:sz w:val="18"/>
        </w:rPr>
      </w:pPr>
      <w:r w:rsidRPr="00435A54">
        <w:rPr>
          <w:sz w:val="18"/>
        </w:rPr>
        <w:tab/>
        <w:t>(e)  evidence the large-scale generation provider has delivered the notices Section R746-318-402 requires and has provided the large load customer additional notice of the following:</w:t>
      </w:r>
    </w:p>
    <w:p w14:paraId="53C772C6" w14:textId="77777777" w:rsidR="002F5E2A" w:rsidRPr="00435A54" w:rsidRDefault="002F5E2A" w:rsidP="002F5E2A">
      <w:pPr>
        <w:widowControl/>
        <w:suppressAutoHyphens/>
        <w:rPr>
          <w:sz w:val="18"/>
        </w:rPr>
      </w:pPr>
      <w:r w:rsidRPr="00435A54">
        <w:rPr>
          <w:sz w:val="18"/>
        </w:rPr>
        <w:tab/>
        <w:t>(</w:t>
      </w:r>
      <w:proofErr w:type="spellStart"/>
      <w:r w:rsidRPr="00435A54">
        <w:rPr>
          <w:sz w:val="18"/>
        </w:rPr>
        <w:t>i</w:t>
      </w:r>
      <w:proofErr w:type="spellEnd"/>
      <w:r w:rsidRPr="00435A54">
        <w:rPr>
          <w:sz w:val="18"/>
        </w:rPr>
        <w:t>)  the closed private generation system is not connected to and operates independently from the transmission system of the qualified electric utility, cooperative utility, municipal utility, or any other utility;</w:t>
      </w:r>
    </w:p>
    <w:p w14:paraId="258AF936" w14:textId="77777777" w:rsidR="002F5E2A" w:rsidRPr="00435A54" w:rsidRDefault="002F5E2A" w:rsidP="002F5E2A">
      <w:pPr>
        <w:widowControl/>
        <w:suppressAutoHyphens/>
        <w:rPr>
          <w:sz w:val="18"/>
        </w:rPr>
      </w:pPr>
      <w:r w:rsidRPr="00435A54">
        <w:rPr>
          <w:sz w:val="18"/>
        </w:rPr>
        <w:tab/>
        <w:t>(ii)  the qualified electric utility has no duty to provide electric service including any ancillary services;</w:t>
      </w:r>
    </w:p>
    <w:p w14:paraId="5F8759F1" w14:textId="77777777" w:rsidR="002F5E2A" w:rsidRPr="00435A54" w:rsidRDefault="002F5E2A" w:rsidP="002F5E2A">
      <w:pPr>
        <w:widowControl/>
        <w:suppressAutoHyphens/>
        <w:rPr>
          <w:sz w:val="18"/>
        </w:rPr>
      </w:pPr>
      <w:r w:rsidRPr="00435A54">
        <w:rPr>
          <w:sz w:val="18"/>
        </w:rPr>
        <w:tab/>
        <w:t>(iii)  no backup power is available in the event of an outage; and</w:t>
      </w:r>
    </w:p>
    <w:p w14:paraId="66925DC5" w14:textId="77777777" w:rsidR="002F5E2A" w:rsidRPr="00435A54" w:rsidRDefault="002F5E2A" w:rsidP="002F5E2A">
      <w:pPr>
        <w:widowControl/>
        <w:suppressAutoHyphens/>
        <w:rPr>
          <w:sz w:val="18"/>
        </w:rPr>
      </w:pPr>
      <w:r w:rsidRPr="00435A54">
        <w:rPr>
          <w:sz w:val="18"/>
        </w:rPr>
        <w:tab/>
        <w:t>(iv)  any request for interconnection to the qualified electric utility, for any level of service, requires the large load customer to submit a large-scale service request to the qualified electric utility and adhere to the process, cost allocations, and timelines set forth in Title 54, Chapter 26, Large-Scale Electric Service Requirements.</w:t>
      </w:r>
    </w:p>
    <w:p w14:paraId="18244C00" w14:textId="77777777" w:rsidR="002F5E2A" w:rsidRPr="00435A54" w:rsidRDefault="002F5E2A" w:rsidP="002F5E2A">
      <w:pPr>
        <w:widowControl/>
        <w:suppressAutoHyphens/>
        <w:rPr>
          <w:sz w:val="18"/>
        </w:rPr>
      </w:pPr>
      <w:r w:rsidRPr="00435A54">
        <w:rPr>
          <w:sz w:val="18"/>
        </w:rPr>
        <w:tab/>
        <w:t>(3)  If an applicant cannot get the declaration required by Subsection R746-318-601(2)(d), after making a reasonable and good faith effort to do so, the applicant may submit a petition to the Commission to require the qualified electric utility to show cause as to the basis for withholding the required declaration, and the Commission may waive the filing requirement under Subsection R746-318-601(2)(d) if the qualified electric utility fails to demonstrate a reasonable basis for the withholding.</w:t>
      </w:r>
    </w:p>
    <w:p w14:paraId="43845206" w14:textId="77777777" w:rsidR="002F5E2A" w:rsidRPr="00435A54" w:rsidRDefault="002F5E2A" w:rsidP="002F5E2A">
      <w:pPr>
        <w:widowControl/>
        <w:suppressAutoHyphens/>
        <w:rPr>
          <w:sz w:val="18"/>
        </w:rPr>
      </w:pPr>
      <w:r w:rsidRPr="00435A54">
        <w:rPr>
          <w:sz w:val="18"/>
        </w:rPr>
        <w:lastRenderedPageBreak/>
        <w:tab/>
        <w:t>(4)  The Commission shall conduct a limited and expedited review and shall approve a private generation contract if the Commission finds:</w:t>
      </w:r>
    </w:p>
    <w:p w14:paraId="464B8898" w14:textId="77777777" w:rsidR="002F5E2A" w:rsidRPr="00435A54" w:rsidRDefault="002F5E2A" w:rsidP="002F5E2A">
      <w:pPr>
        <w:widowControl/>
        <w:suppressAutoHyphens/>
        <w:rPr>
          <w:sz w:val="18"/>
        </w:rPr>
      </w:pPr>
      <w:r w:rsidRPr="00435A54">
        <w:rPr>
          <w:sz w:val="18"/>
        </w:rPr>
        <w:tab/>
        <w:t>(a)  the large-scale generation provider is registered with the Commission;</w:t>
      </w:r>
    </w:p>
    <w:p w14:paraId="5AC415F2" w14:textId="77777777" w:rsidR="002F5E2A" w:rsidRPr="00435A54" w:rsidRDefault="002F5E2A" w:rsidP="002F5E2A">
      <w:pPr>
        <w:widowControl/>
        <w:suppressAutoHyphens/>
        <w:rPr>
          <w:sz w:val="18"/>
        </w:rPr>
      </w:pPr>
      <w:r w:rsidRPr="00435A54">
        <w:rPr>
          <w:sz w:val="18"/>
        </w:rPr>
        <w:tab/>
        <w:t>(b)  the large load customer is requesting service that is expected to reach a cumulative demand of 100 megawatts or greater within five years of the requested initial start date; and</w:t>
      </w:r>
    </w:p>
    <w:p w14:paraId="2F8ABFE1" w14:textId="77777777" w:rsidR="002F5E2A" w:rsidRPr="00435A54" w:rsidRDefault="002F5E2A" w:rsidP="002F5E2A">
      <w:pPr>
        <w:widowControl/>
        <w:suppressAutoHyphens/>
        <w:rPr>
          <w:sz w:val="18"/>
        </w:rPr>
      </w:pPr>
      <w:r w:rsidRPr="00435A54">
        <w:rPr>
          <w:sz w:val="18"/>
        </w:rPr>
        <w:tab/>
        <w:t>(c)  the generation, transmission, and related facilities remain wholly separate from facilities owned or operated by any qualified electric utility, cooperative utility, municipal utility, or other utility.</w:t>
      </w:r>
    </w:p>
    <w:p w14:paraId="78EFE1D8" w14:textId="77777777" w:rsidR="002F5E2A" w:rsidRPr="00435A54" w:rsidRDefault="002F5E2A" w:rsidP="002F5E2A">
      <w:pPr>
        <w:widowControl/>
        <w:suppressAutoHyphens/>
        <w:rPr>
          <w:bCs/>
          <w:sz w:val="18"/>
        </w:rPr>
      </w:pPr>
    </w:p>
    <w:p w14:paraId="25B803C5" w14:textId="77777777" w:rsidR="002F5E2A" w:rsidRPr="00435A54" w:rsidRDefault="002F5E2A" w:rsidP="002F5E2A">
      <w:pPr>
        <w:widowControl/>
        <w:suppressAutoHyphens/>
        <w:rPr>
          <w:bCs/>
          <w:sz w:val="18"/>
        </w:rPr>
      </w:pPr>
      <w:r w:rsidRPr="00435A54">
        <w:rPr>
          <w:b/>
          <w:bCs/>
          <w:sz w:val="18"/>
        </w:rPr>
        <w:t>KEY:  public utilities, large-scale electric service requirements</w:t>
      </w:r>
    </w:p>
    <w:p w14:paraId="1F75706A" w14:textId="470F6E1F" w:rsidR="002F5E2A" w:rsidRPr="00435A54" w:rsidRDefault="002F5E2A" w:rsidP="002F5E2A">
      <w:pPr>
        <w:widowControl/>
        <w:suppressAutoHyphens/>
        <w:rPr>
          <w:bCs/>
          <w:sz w:val="18"/>
        </w:rPr>
      </w:pPr>
      <w:r w:rsidRPr="00435A54">
        <w:rPr>
          <w:b/>
          <w:bCs/>
          <w:sz w:val="18"/>
        </w:rPr>
        <w:t xml:space="preserve">Date of Last Change:  </w:t>
      </w:r>
      <w:r w:rsidR="00615407" w:rsidRPr="00435A54">
        <w:rPr>
          <w:b/>
          <w:bCs/>
          <w:sz w:val="18"/>
        </w:rPr>
        <w:t>January 1, 2026</w:t>
      </w:r>
    </w:p>
    <w:p w14:paraId="77664FCC" w14:textId="77777777" w:rsidR="002F5E2A" w:rsidRPr="00435A54" w:rsidRDefault="002F5E2A" w:rsidP="002F5E2A">
      <w:pPr>
        <w:widowControl/>
        <w:suppressAutoHyphens/>
        <w:rPr>
          <w:sz w:val="18"/>
        </w:rPr>
      </w:pPr>
      <w:r w:rsidRPr="00435A54">
        <w:rPr>
          <w:b/>
          <w:bCs/>
          <w:sz w:val="18"/>
        </w:rPr>
        <w:t>Authorizing, and Implemented or Interpreted Law:  54-26-302(5); 54-26-503(3); 54-26-504(4); 54-26-901(1)(a)</w:t>
      </w:r>
    </w:p>
    <w:p w14:paraId="2B103547" w14:textId="77777777" w:rsidR="002F5E2A" w:rsidRPr="00435A54" w:rsidRDefault="002F5E2A" w:rsidP="002F5E2A">
      <w:pPr>
        <w:widowControl/>
        <w:suppressAutoHyphens/>
        <w:rPr>
          <w:iCs/>
          <w:sz w:val="18"/>
        </w:rPr>
      </w:pPr>
    </w:p>
    <w:p w14:paraId="0D1F53A4" w14:textId="1D3EAEDB" w:rsidR="00DC5B2F" w:rsidRPr="00435A54" w:rsidRDefault="00DC5B2F" w:rsidP="002F5E2A">
      <w:pPr>
        <w:widowControl/>
        <w:suppressAutoHyphens/>
        <w:autoSpaceDE/>
        <w:autoSpaceDN/>
        <w:adjustRightInd/>
        <w:rPr>
          <w:rFonts w:eastAsia="Aptos"/>
          <w:sz w:val="18"/>
        </w:rPr>
      </w:pPr>
    </w:p>
    <w:sectPr w:rsidR="00DC5B2F" w:rsidRPr="00435A54" w:rsidSect="00435A54">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DF20E" w14:textId="77777777" w:rsidR="00936574" w:rsidRDefault="00936574" w:rsidP="00C17968">
      <w:r>
        <w:separator/>
      </w:r>
    </w:p>
  </w:endnote>
  <w:endnote w:type="continuationSeparator" w:id="0">
    <w:p w14:paraId="4F9DD93C" w14:textId="77777777" w:rsidR="00936574" w:rsidRDefault="00936574"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5CB0C" w14:textId="77777777" w:rsidR="00936574" w:rsidRDefault="00936574" w:rsidP="00C17968">
      <w:r>
        <w:separator/>
      </w:r>
    </w:p>
  </w:footnote>
  <w:footnote w:type="continuationSeparator" w:id="0">
    <w:p w14:paraId="4265645B" w14:textId="77777777" w:rsidR="00936574" w:rsidRDefault="00936574"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CD80C6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08074F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8347AD"/>
    <w:multiLevelType w:val="hybridMultilevel"/>
    <w:tmpl w:val="77403DEA"/>
    <w:lvl w:ilvl="0" w:tplc="1002805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253A43"/>
    <w:multiLevelType w:val="hybridMultilevel"/>
    <w:tmpl w:val="CA50E878"/>
    <w:lvl w:ilvl="0" w:tplc="3FC4A920">
      <w:start w:val="1"/>
      <w:numFmt w:val="decimal"/>
      <w:lvlText w:val="(%1)"/>
      <w:lvlJc w:val="left"/>
      <w:pPr>
        <w:ind w:left="720" w:hanging="360"/>
      </w:pPr>
      <w:rPr>
        <w:rFonts w:hint="default"/>
      </w:rPr>
    </w:lvl>
    <w:lvl w:ilvl="1" w:tplc="CC28B726">
      <w:start w:val="1"/>
      <w:numFmt w:val="lowerLetter"/>
      <w:lvlText w:val="(%2)"/>
      <w:lvlJc w:val="left"/>
      <w:pPr>
        <w:ind w:left="1440" w:hanging="360"/>
      </w:pPr>
      <w:rPr>
        <w:rFonts w:hint="default"/>
      </w:rPr>
    </w:lvl>
    <w:lvl w:ilvl="2" w:tplc="B61A719A">
      <w:start w:val="1"/>
      <w:numFmt w:val="lowerRoman"/>
      <w:lvlText w:val="%3."/>
      <w:lvlJc w:val="right"/>
      <w:pPr>
        <w:ind w:left="2160" w:hanging="180"/>
      </w:pPr>
    </w:lvl>
    <w:lvl w:ilvl="3" w:tplc="BED0DBAA" w:tentative="1">
      <w:start w:val="1"/>
      <w:numFmt w:val="decimal"/>
      <w:lvlText w:val="%4."/>
      <w:lvlJc w:val="left"/>
      <w:pPr>
        <w:ind w:left="2880" w:hanging="360"/>
      </w:pPr>
    </w:lvl>
    <w:lvl w:ilvl="4" w:tplc="9B92AEEC" w:tentative="1">
      <w:start w:val="1"/>
      <w:numFmt w:val="lowerLetter"/>
      <w:lvlText w:val="%5."/>
      <w:lvlJc w:val="left"/>
      <w:pPr>
        <w:ind w:left="3600" w:hanging="360"/>
      </w:pPr>
    </w:lvl>
    <w:lvl w:ilvl="5" w:tplc="270678B2" w:tentative="1">
      <w:start w:val="1"/>
      <w:numFmt w:val="lowerRoman"/>
      <w:lvlText w:val="%6."/>
      <w:lvlJc w:val="right"/>
      <w:pPr>
        <w:ind w:left="4320" w:hanging="180"/>
      </w:pPr>
    </w:lvl>
    <w:lvl w:ilvl="6" w:tplc="C3F4012C" w:tentative="1">
      <w:start w:val="1"/>
      <w:numFmt w:val="decimal"/>
      <w:lvlText w:val="%7."/>
      <w:lvlJc w:val="left"/>
      <w:pPr>
        <w:ind w:left="5040" w:hanging="360"/>
      </w:pPr>
    </w:lvl>
    <w:lvl w:ilvl="7" w:tplc="34D41114" w:tentative="1">
      <w:start w:val="1"/>
      <w:numFmt w:val="lowerLetter"/>
      <w:lvlText w:val="%8."/>
      <w:lvlJc w:val="left"/>
      <w:pPr>
        <w:ind w:left="5760" w:hanging="360"/>
      </w:pPr>
    </w:lvl>
    <w:lvl w:ilvl="8" w:tplc="9F90F074" w:tentative="1">
      <w:start w:val="1"/>
      <w:numFmt w:val="lowerRoman"/>
      <w:lvlText w:val="%9."/>
      <w:lvlJc w:val="right"/>
      <w:pPr>
        <w:ind w:left="6480" w:hanging="180"/>
      </w:pPr>
    </w:lvl>
  </w:abstractNum>
  <w:abstractNum w:abstractNumId="4" w15:restartNumberingAfterBreak="0">
    <w:nsid w:val="0C177CBB"/>
    <w:multiLevelType w:val="multilevel"/>
    <w:tmpl w:val="7ADA7996"/>
    <w:styleLink w:val="ListNum5"/>
    <w:lvl w:ilvl="0">
      <w:start w:val="1"/>
      <w:numFmt w:val="decimal"/>
      <w:pStyle w:val="ListNumber5"/>
      <w:lvlText w:val="%1."/>
      <w:lvlJc w:val="left"/>
      <w:pPr>
        <w:ind w:left="360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D4406"/>
    <w:multiLevelType w:val="multilevel"/>
    <w:tmpl w:val="CCEC1222"/>
    <w:styleLink w:val="ListBull2"/>
    <w:lvl w:ilvl="0">
      <w:start w:val="1"/>
      <w:numFmt w:val="bullet"/>
      <w:pStyle w:val="ListBullet2"/>
      <w:lvlText w:val=""/>
      <w:lvlJc w:val="left"/>
      <w:pPr>
        <w:ind w:left="1440" w:hanging="72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764AC6"/>
    <w:multiLevelType w:val="multilevel"/>
    <w:tmpl w:val="6374D1A4"/>
    <w:styleLink w:val="ListBull4"/>
    <w:lvl w:ilvl="0">
      <w:start w:val="1"/>
      <w:numFmt w:val="bullet"/>
      <w:pStyle w:val="ListBullet4"/>
      <w:lvlText w:val=""/>
      <w:lvlJc w:val="left"/>
      <w:pPr>
        <w:ind w:left="2880" w:hanging="72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D7481D"/>
    <w:multiLevelType w:val="multilevel"/>
    <w:tmpl w:val="C986B4BE"/>
    <w:styleLink w:val="ListNum2"/>
    <w:lvl w:ilvl="0">
      <w:start w:val="1"/>
      <w:numFmt w:val="decimal"/>
      <w:pStyle w:val="ListNumber2"/>
      <w:lvlText w:val="%1."/>
      <w:lvlJc w:val="left"/>
      <w:pPr>
        <w:ind w:left="144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8B3A13"/>
    <w:multiLevelType w:val="hybridMultilevel"/>
    <w:tmpl w:val="CA50E878"/>
    <w:lvl w:ilvl="0" w:tplc="FE50EEE8">
      <w:start w:val="1"/>
      <w:numFmt w:val="decimal"/>
      <w:lvlText w:val="(%1)"/>
      <w:lvlJc w:val="left"/>
      <w:pPr>
        <w:ind w:left="720" w:hanging="360"/>
      </w:pPr>
      <w:rPr>
        <w:rFonts w:hint="default"/>
      </w:rPr>
    </w:lvl>
    <w:lvl w:ilvl="1" w:tplc="BCCA3456">
      <w:start w:val="1"/>
      <w:numFmt w:val="lowerLetter"/>
      <w:lvlText w:val="(%2)"/>
      <w:lvlJc w:val="left"/>
      <w:pPr>
        <w:ind w:left="1440" w:hanging="360"/>
      </w:pPr>
      <w:rPr>
        <w:rFonts w:hint="default"/>
      </w:rPr>
    </w:lvl>
    <w:lvl w:ilvl="2" w:tplc="1E5AC51A" w:tentative="1">
      <w:start w:val="1"/>
      <w:numFmt w:val="lowerRoman"/>
      <w:lvlText w:val="%3."/>
      <w:lvlJc w:val="right"/>
      <w:pPr>
        <w:ind w:left="2160" w:hanging="180"/>
      </w:pPr>
    </w:lvl>
    <w:lvl w:ilvl="3" w:tplc="F26CCF8E" w:tentative="1">
      <w:start w:val="1"/>
      <w:numFmt w:val="decimal"/>
      <w:lvlText w:val="%4."/>
      <w:lvlJc w:val="left"/>
      <w:pPr>
        <w:ind w:left="2880" w:hanging="360"/>
      </w:pPr>
    </w:lvl>
    <w:lvl w:ilvl="4" w:tplc="3AE023D8" w:tentative="1">
      <w:start w:val="1"/>
      <w:numFmt w:val="lowerLetter"/>
      <w:lvlText w:val="%5."/>
      <w:lvlJc w:val="left"/>
      <w:pPr>
        <w:ind w:left="3600" w:hanging="360"/>
      </w:pPr>
    </w:lvl>
    <w:lvl w:ilvl="5" w:tplc="74984CB4" w:tentative="1">
      <w:start w:val="1"/>
      <w:numFmt w:val="lowerRoman"/>
      <w:lvlText w:val="%6."/>
      <w:lvlJc w:val="right"/>
      <w:pPr>
        <w:ind w:left="4320" w:hanging="180"/>
      </w:pPr>
    </w:lvl>
    <w:lvl w:ilvl="6" w:tplc="2670F260" w:tentative="1">
      <w:start w:val="1"/>
      <w:numFmt w:val="decimal"/>
      <w:lvlText w:val="%7."/>
      <w:lvlJc w:val="left"/>
      <w:pPr>
        <w:ind w:left="5040" w:hanging="360"/>
      </w:pPr>
    </w:lvl>
    <w:lvl w:ilvl="7" w:tplc="CC4C1B5C" w:tentative="1">
      <w:start w:val="1"/>
      <w:numFmt w:val="lowerLetter"/>
      <w:lvlText w:val="%8."/>
      <w:lvlJc w:val="left"/>
      <w:pPr>
        <w:ind w:left="5760" w:hanging="360"/>
      </w:pPr>
    </w:lvl>
    <w:lvl w:ilvl="8" w:tplc="D6FE640E" w:tentative="1">
      <w:start w:val="1"/>
      <w:numFmt w:val="lowerRoman"/>
      <w:lvlText w:val="%9."/>
      <w:lvlJc w:val="right"/>
      <w:pPr>
        <w:ind w:left="6480" w:hanging="180"/>
      </w:pPr>
    </w:lvl>
  </w:abstractNum>
  <w:abstractNum w:abstractNumId="9" w15:restartNumberingAfterBreak="0">
    <w:nsid w:val="1F8F6570"/>
    <w:multiLevelType w:val="hybridMultilevel"/>
    <w:tmpl w:val="8AD48734"/>
    <w:lvl w:ilvl="0" w:tplc="44A85810">
      <w:start w:val="1"/>
      <w:numFmt w:val="lowerLetter"/>
      <w:lvlText w:val="(%1)"/>
      <w:lvlJc w:val="left"/>
      <w:pPr>
        <w:ind w:left="1800" w:hanging="360"/>
      </w:pPr>
      <w:rPr>
        <w:rFonts w:hint="default"/>
      </w:rPr>
    </w:lvl>
    <w:lvl w:ilvl="1" w:tplc="D9924630">
      <w:start w:val="1"/>
      <w:numFmt w:val="lowerRoman"/>
      <w:lvlText w:val="(%2)"/>
      <w:lvlJc w:val="left"/>
      <w:pPr>
        <w:ind w:left="1440" w:hanging="360"/>
      </w:pPr>
      <w:rPr>
        <w:rFonts w:ascii="Times New Roman" w:eastAsiaTheme="minorEastAsia" w:hAnsi="Times New Roman" w:cstheme="minorBidi"/>
      </w:rPr>
    </w:lvl>
    <w:lvl w:ilvl="2" w:tplc="049059EC">
      <w:start w:val="1"/>
      <w:numFmt w:val="lowerRoman"/>
      <w:lvlText w:val="(%3)"/>
      <w:lvlJc w:val="left"/>
      <w:pPr>
        <w:ind w:left="3455" w:hanging="395"/>
      </w:pPr>
      <w:rPr>
        <w:rFonts w:ascii="Times New Roman" w:eastAsiaTheme="minorEastAsia" w:hAnsi="Times New Roman" w:cstheme="minorBidi"/>
      </w:rPr>
    </w:lvl>
    <w:lvl w:ilvl="3" w:tplc="20B4E2CA">
      <w:start w:val="1"/>
      <w:numFmt w:val="upperLetter"/>
      <w:lvlText w:val="(%4)"/>
      <w:lvlJc w:val="left"/>
      <w:pPr>
        <w:ind w:left="3960" w:hanging="360"/>
      </w:pPr>
      <w:rPr>
        <w:rFonts w:ascii="Times New Roman" w:eastAsiaTheme="minorEastAsia" w:hAnsi="Times New Roman" w:cstheme="minorBidi"/>
      </w:rPr>
    </w:lvl>
    <w:lvl w:ilvl="4" w:tplc="DC869AFE">
      <w:start w:val="1"/>
      <w:numFmt w:val="lowerLetter"/>
      <w:lvlText w:val="%5."/>
      <w:lvlJc w:val="left"/>
      <w:pPr>
        <w:ind w:left="4680" w:hanging="360"/>
      </w:pPr>
    </w:lvl>
    <w:lvl w:ilvl="5" w:tplc="85C2C244">
      <w:start w:val="1"/>
      <w:numFmt w:val="decimal"/>
      <w:lvlText w:val="(%6)"/>
      <w:lvlJc w:val="left"/>
      <w:pPr>
        <w:ind w:left="720" w:hanging="360"/>
      </w:pPr>
      <w:rPr>
        <w:rFonts w:ascii="Times New Roman" w:eastAsiaTheme="minorEastAsia" w:hAnsi="Times New Roman" w:cstheme="minorBidi"/>
      </w:rPr>
    </w:lvl>
    <w:lvl w:ilvl="6" w:tplc="3DEE3C24">
      <w:start w:val="1"/>
      <w:numFmt w:val="decimal"/>
      <w:lvlText w:val="%7."/>
      <w:lvlJc w:val="left"/>
      <w:pPr>
        <w:ind w:left="6120" w:hanging="360"/>
      </w:pPr>
    </w:lvl>
    <w:lvl w:ilvl="7" w:tplc="A9384524" w:tentative="1">
      <w:start w:val="1"/>
      <w:numFmt w:val="lowerLetter"/>
      <w:lvlText w:val="%8."/>
      <w:lvlJc w:val="left"/>
      <w:pPr>
        <w:ind w:left="6840" w:hanging="360"/>
      </w:pPr>
    </w:lvl>
    <w:lvl w:ilvl="8" w:tplc="08BEC16C" w:tentative="1">
      <w:start w:val="1"/>
      <w:numFmt w:val="lowerRoman"/>
      <w:lvlText w:val="%9."/>
      <w:lvlJc w:val="right"/>
      <w:pPr>
        <w:ind w:left="7560" w:hanging="180"/>
      </w:pPr>
    </w:lvl>
  </w:abstractNum>
  <w:abstractNum w:abstractNumId="10" w15:restartNumberingAfterBreak="0">
    <w:nsid w:val="1FCB7868"/>
    <w:multiLevelType w:val="multilevel"/>
    <w:tmpl w:val="7ADA7996"/>
    <w:numStyleLink w:val="ListNum5"/>
  </w:abstractNum>
  <w:abstractNum w:abstractNumId="11" w15:restartNumberingAfterBreak="0">
    <w:nsid w:val="23327C3B"/>
    <w:multiLevelType w:val="hybridMultilevel"/>
    <w:tmpl w:val="514AE626"/>
    <w:lvl w:ilvl="0" w:tplc="E54E6866">
      <w:start w:val="1"/>
      <w:numFmt w:val="decimal"/>
      <w:lvlText w:val="%1)"/>
      <w:lvlJc w:val="left"/>
      <w:pPr>
        <w:ind w:left="1020" w:hanging="360"/>
      </w:pPr>
    </w:lvl>
    <w:lvl w:ilvl="1" w:tplc="69AC6294">
      <w:start w:val="1"/>
      <w:numFmt w:val="decimal"/>
      <w:lvlText w:val="%2)"/>
      <w:lvlJc w:val="left"/>
      <w:pPr>
        <w:ind w:left="1020" w:hanging="360"/>
      </w:pPr>
    </w:lvl>
    <w:lvl w:ilvl="2" w:tplc="33D6F2CC">
      <w:start w:val="1"/>
      <w:numFmt w:val="decimal"/>
      <w:lvlText w:val="%3)"/>
      <w:lvlJc w:val="left"/>
      <w:pPr>
        <w:ind w:left="1020" w:hanging="360"/>
      </w:pPr>
    </w:lvl>
    <w:lvl w:ilvl="3" w:tplc="1BF4C222">
      <w:start w:val="1"/>
      <w:numFmt w:val="decimal"/>
      <w:lvlText w:val="%4)"/>
      <w:lvlJc w:val="left"/>
      <w:pPr>
        <w:ind w:left="1020" w:hanging="360"/>
      </w:pPr>
    </w:lvl>
    <w:lvl w:ilvl="4" w:tplc="035E7138">
      <w:start w:val="1"/>
      <w:numFmt w:val="decimal"/>
      <w:lvlText w:val="%5)"/>
      <w:lvlJc w:val="left"/>
      <w:pPr>
        <w:ind w:left="1020" w:hanging="360"/>
      </w:pPr>
    </w:lvl>
    <w:lvl w:ilvl="5" w:tplc="02F6DEB0">
      <w:start w:val="1"/>
      <w:numFmt w:val="decimal"/>
      <w:lvlText w:val="%6)"/>
      <w:lvlJc w:val="left"/>
      <w:pPr>
        <w:ind w:left="1020" w:hanging="360"/>
      </w:pPr>
    </w:lvl>
    <w:lvl w:ilvl="6" w:tplc="A5FE9816">
      <w:start w:val="1"/>
      <w:numFmt w:val="decimal"/>
      <w:lvlText w:val="%7)"/>
      <w:lvlJc w:val="left"/>
      <w:pPr>
        <w:ind w:left="1020" w:hanging="360"/>
      </w:pPr>
    </w:lvl>
    <w:lvl w:ilvl="7" w:tplc="F63E5E42">
      <w:start w:val="1"/>
      <w:numFmt w:val="decimal"/>
      <w:lvlText w:val="%8)"/>
      <w:lvlJc w:val="left"/>
      <w:pPr>
        <w:ind w:left="1020" w:hanging="360"/>
      </w:pPr>
    </w:lvl>
    <w:lvl w:ilvl="8" w:tplc="60F86972">
      <w:start w:val="1"/>
      <w:numFmt w:val="decimal"/>
      <w:lvlText w:val="%9)"/>
      <w:lvlJc w:val="left"/>
      <w:pPr>
        <w:ind w:left="1020" w:hanging="360"/>
      </w:pPr>
    </w:lvl>
  </w:abstractNum>
  <w:abstractNum w:abstractNumId="12" w15:restartNumberingAfterBreak="0">
    <w:nsid w:val="248832D2"/>
    <w:multiLevelType w:val="multilevel"/>
    <w:tmpl w:val="C008874E"/>
    <w:numStyleLink w:val="ListNum3"/>
  </w:abstractNum>
  <w:abstractNum w:abstractNumId="13" w15:restartNumberingAfterBreak="0">
    <w:nsid w:val="284C1C77"/>
    <w:multiLevelType w:val="hybridMultilevel"/>
    <w:tmpl w:val="16F03BFA"/>
    <w:lvl w:ilvl="0" w:tplc="776030D0">
      <w:start w:val="1"/>
      <w:numFmt w:val="decimal"/>
      <w:lvlText w:val="(%1)"/>
      <w:lvlJc w:val="left"/>
      <w:pPr>
        <w:ind w:left="720" w:hanging="360"/>
      </w:pPr>
      <w:rPr>
        <w:rFonts w:hint="default"/>
      </w:rPr>
    </w:lvl>
    <w:lvl w:ilvl="1" w:tplc="E940D85E">
      <w:start w:val="1"/>
      <w:numFmt w:val="lowerLetter"/>
      <w:lvlText w:val="(%2)"/>
      <w:lvlJc w:val="left"/>
      <w:pPr>
        <w:ind w:left="1440" w:hanging="360"/>
      </w:pPr>
      <w:rPr>
        <w:rFonts w:hint="default"/>
      </w:rPr>
    </w:lvl>
    <w:lvl w:ilvl="2" w:tplc="30A6DCEC">
      <w:start w:val="1"/>
      <w:numFmt w:val="lowerRoman"/>
      <w:lvlText w:val="%3."/>
      <w:lvlJc w:val="right"/>
      <w:pPr>
        <w:ind w:left="2160" w:hanging="180"/>
      </w:pPr>
    </w:lvl>
    <w:lvl w:ilvl="3" w:tplc="CB28533E" w:tentative="1">
      <w:start w:val="1"/>
      <w:numFmt w:val="decimal"/>
      <w:lvlText w:val="%4."/>
      <w:lvlJc w:val="left"/>
      <w:pPr>
        <w:ind w:left="2880" w:hanging="360"/>
      </w:pPr>
    </w:lvl>
    <w:lvl w:ilvl="4" w:tplc="E272B6C0" w:tentative="1">
      <w:start w:val="1"/>
      <w:numFmt w:val="lowerLetter"/>
      <w:lvlText w:val="%5."/>
      <w:lvlJc w:val="left"/>
      <w:pPr>
        <w:ind w:left="3600" w:hanging="360"/>
      </w:pPr>
    </w:lvl>
    <w:lvl w:ilvl="5" w:tplc="5E4260AE" w:tentative="1">
      <w:start w:val="1"/>
      <w:numFmt w:val="lowerRoman"/>
      <w:lvlText w:val="%6."/>
      <w:lvlJc w:val="right"/>
      <w:pPr>
        <w:ind w:left="4320" w:hanging="180"/>
      </w:pPr>
    </w:lvl>
    <w:lvl w:ilvl="6" w:tplc="67CA3380" w:tentative="1">
      <w:start w:val="1"/>
      <w:numFmt w:val="decimal"/>
      <w:lvlText w:val="%7."/>
      <w:lvlJc w:val="left"/>
      <w:pPr>
        <w:ind w:left="5040" w:hanging="360"/>
      </w:pPr>
    </w:lvl>
    <w:lvl w:ilvl="7" w:tplc="194E3C7C" w:tentative="1">
      <w:start w:val="1"/>
      <w:numFmt w:val="lowerLetter"/>
      <w:lvlText w:val="%8."/>
      <w:lvlJc w:val="left"/>
      <w:pPr>
        <w:ind w:left="5760" w:hanging="360"/>
      </w:pPr>
    </w:lvl>
    <w:lvl w:ilvl="8" w:tplc="B03A39E0" w:tentative="1">
      <w:start w:val="1"/>
      <w:numFmt w:val="lowerRoman"/>
      <w:lvlText w:val="%9."/>
      <w:lvlJc w:val="right"/>
      <w:pPr>
        <w:ind w:left="6480" w:hanging="180"/>
      </w:pPr>
    </w:lvl>
  </w:abstractNum>
  <w:abstractNum w:abstractNumId="14" w15:restartNumberingAfterBreak="0">
    <w:nsid w:val="2B2D0680"/>
    <w:multiLevelType w:val="multilevel"/>
    <w:tmpl w:val="30F6CA62"/>
    <w:styleLink w:val="ListBull5"/>
    <w:lvl w:ilvl="0">
      <w:start w:val="1"/>
      <w:numFmt w:val="bullet"/>
      <w:pStyle w:val="ListBullet5"/>
      <w:lvlText w:val=""/>
      <w:lvlJc w:val="left"/>
      <w:pPr>
        <w:ind w:left="3600" w:hanging="72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7D6B5F"/>
    <w:multiLevelType w:val="multilevel"/>
    <w:tmpl w:val="DBE8EF8C"/>
    <w:lvl w:ilvl="0">
      <w:start w:val="1"/>
      <w:numFmt w:val="upperRoman"/>
      <w:pStyle w:val="Heading1"/>
      <w:lvlText w:val="%1."/>
      <w:lvlJc w:val="left"/>
      <w:pPr>
        <w:tabs>
          <w:tab w:val="num" w:pos="720"/>
        </w:tabs>
        <w:ind w:left="720" w:hanging="720"/>
      </w:pPr>
      <w:rPr>
        <w:rFonts w:hint="default"/>
        <w:b w:val="0"/>
        <w:i w:val="0"/>
        <w:sz w:val="24"/>
      </w:rPr>
    </w:lvl>
    <w:lvl w:ilvl="1">
      <w:start w:val="1"/>
      <w:numFmt w:val="upperLetter"/>
      <w:pStyle w:val="Heading2"/>
      <w:lvlText w:val="%2."/>
      <w:lvlJc w:val="left"/>
      <w:pPr>
        <w:ind w:left="1440" w:hanging="720"/>
      </w:pPr>
      <w:rPr>
        <w:rFonts w:hint="default"/>
        <w:b w:val="0"/>
        <w:i w:val="0"/>
        <w:sz w:val="24"/>
      </w:rPr>
    </w:lvl>
    <w:lvl w:ilvl="2">
      <w:start w:val="1"/>
      <w:numFmt w:val="decimal"/>
      <w:pStyle w:val="Heading3"/>
      <w:lvlText w:val="%3."/>
      <w:lvlJc w:val="left"/>
      <w:pPr>
        <w:ind w:left="2160" w:hanging="720"/>
      </w:pPr>
      <w:rPr>
        <w:rFonts w:hint="default"/>
        <w:b w:val="0"/>
        <w:i w:val="0"/>
        <w:sz w:val="24"/>
      </w:rPr>
    </w:lvl>
    <w:lvl w:ilvl="3">
      <w:start w:val="1"/>
      <w:numFmt w:val="lowerLetter"/>
      <w:pStyle w:val="Heading4"/>
      <w:lvlText w:val="%4."/>
      <w:lvlJc w:val="left"/>
      <w:pPr>
        <w:ind w:left="2880" w:hanging="720"/>
      </w:pPr>
      <w:rPr>
        <w:rFonts w:ascii="Times New Roman" w:hAnsi="Times New Roman" w:hint="default"/>
        <w:b w:val="0"/>
        <w:i w:val="0"/>
        <w:sz w:val="24"/>
      </w:rPr>
    </w:lvl>
    <w:lvl w:ilvl="4">
      <w:start w:val="1"/>
      <w:numFmt w:val="decimal"/>
      <w:pStyle w:val="Heading5"/>
      <w:lvlText w:val="(%5)"/>
      <w:lvlJc w:val="left"/>
      <w:pPr>
        <w:ind w:left="3600" w:hanging="720"/>
      </w:pPr>
      <w:rPr>
        <w:rFonts w:ascii="Times New Roman" w:hAnsi="Times New Roman" w:hint="default"/>
        <w:b w:val="0"/>
        <w:i w:val="0"/>
        <w:sz w:val="24"/>
      </w:rPr>
    </w:lvl>
    <w:lvl w:ilvl="5">
      <w:start w:val="1"/>
      <w:numFmt w:val="lowerLetter"/>
      <w:pStyle w:val="Heading6"/>
      <w:lvlText w:val="(%6)"/>
      <w:lvlJc w:val="left"/>
      <w:pPr>
        <w:ind w:left="4320" w:hanging="720"/>
      </w:pPr>
      <w:rPr>
        <w:rFonts w:ascii="Times New Roman" w:hAnsi="Times New Roman" w:hint="default"/>
        <w:b w:val="0"/>
        <w:i w:val="0"/>
        <w:sz w:val="24"/>
      </w:rPr>
    </w:lvl>
    <w:lvl w:ilvl="6">
      <w:start w:val="1"/>
      <w:numFmt w:val="lowerRoman"/>
      <w:pStyle w:val="Heading7"/>
      <w:lvlText w:val="(%7)"/>
      <w:lvlJc w:val="left"/>
      <w:pPr>
        <w:ind w:left="5040" w:hanging="720"/>
      </w:pPr>
      <w:rPr>
        <w:rFonts w:ascii="Times New Roman" w:hAnsi="Times New Roman" w:hint="default"/>
        <w:b w:val="0"/>
        <w:i w:val="0"/>
        <w:sz w:val="24"/>
      </w:rPr>
    </w:lvl>
    <w:lvl w:ilvl="7">
      <w:start w:val="1"/>
      <w:numFmt w:val="decimal"/>
      <w:pStyle w:val="Heading8"/>
      <w:lvlText w:val="%8)"/>
      <w:lvlJc w:val="left"/>
      <w:pPr>
        <w:ind w:left="5760" w:hanging="720"/>
      </w:pPr>
      <w:rPr>
        <w:rFonts w:ascii="Times New Roman" w:hAnsi="Times New Roman" w:hint="default"/>
        <w:b w:val="0"/>
        <w:i w:val="0"/>
        <w:sz w:val="24"/>
      </w:rPr>
    </w:lvl>
    <w:lvl w:ilvl="8">
      <w:start w:val="1"/>
      <w:numFmt w:val="lowerLetter"/>
      <w:pStyle w:val="Heading9"/>
      <w:lvlText w:val="%9)"/>
      <w:lvlJc w:val="left"/>
      <w:pPr>
        <w:ind w:left="6480" w:hanging="720"/>
      </w:pPr>
      <w:rPr>
        <w:rFonts w:ascii="Times New Roman" w:hAnsi="Times New Roman" w:hint="default"/>
        <w:b w:val="0"/>
        <w:i w:val="0"/>
        <w:sz w:val="24"/>
      </w:rPr>
    </w:lvl>
  </w:abstractNum>
  <w:abstractNum w:abstractNumId="16" w15:restartNumberingAfterBreak="0">
    <w:nsid w:val="3634200C"/>
    <w:multiLevelType w:val="multilevel"/>
    <w:tmpl w:val="68DE8F7A"/>
    <w:styleLink w:val="ListNum4"/>
    <w:lvl w:ilvl="0">
      <w:start w:val="1"/>
      <w:numFmt w:val="decimal"/>
      <w:pStyle w:val="ListNumber4"/>
      <w:lvlText w:val="%1."/>
      <w:lvlJc w:val="left"/>
      <w:pPr>
        <w:ind w:left="288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995258"/>
    <w:multiLevelType w:val="multilevel"/>
    <w:tmpl w:val="D05CD1C4"/>
    <w:styleLink w:val="DWBullet"/>
    <w:lvl w:ilvl="0">
      <w:start w:val="1"/>
      <w:numFmt w:val="bullet"/>
      <w:pStyle w:val="DWListBullet"/>
      <w:lvlText w:val=""/>
      <w:lvlJc w:val="left"/>
      <w:pPr>
        <w:ind w:left="1440" w:hanging="720"/>
      </w:pPr>
      <w:rPr>
        <w:rFonts w:ascii="Symbol" w:hAnsi="Symbol"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CD2B0F"/>
    <w:multiLevelType w:val="hybridMultilevel"/>
    <w:tmpl w:val="A4283AE2"/>
    <w:lvl w:ilvl="0" w:tplc="7D06CEF6">
      <w:start w:val="1"/>
      <w:numFmt w:val="decimal"/>
      <w:lvlText w:val="(%1)"/>
      <w:lvlJc w:val="left"/>
      <w:pPr>
        <w:ind w:left="720" w:hanging="360"/>
      </w:pPr>
      <w:rPr>
        <w:rFonts w:hint="default"/>
      </w:rPr>
    </w:lvl>
    <w:lvl w:ilvl="1" w:tplc="48460160">
      <w:start w:val="1"/>
      <w:numFmt w:val="lowerLetter"/>
      <w:lvlText w:val="(%2)"/>
      <w:lvlJc w:val="left"/>
      <w:pPr>
        <w:ind w:left="1440" w:hanging="360"/>
      </w:pPr>
      <w:rPr>
        <w:rFonts w:hint="default"/>
      </w:rPr>
    </w:lvl>
    <w:lvl w:ilvl="2" w:tplc="33FCD6B0">
      <w:start w:val="1"/>
      <w:numFmt w:val="lowerRoman"/>
      <w:lvlText w:val="(%3)"/>
      <w:lvlJc w:val="left"/>
      <w:pPr>
        <w:ind w:left="2340" w:hanging="360"/>
      </w:pPr>
      <w:rPr>
        <w:rFonts w:ascii="Times New Roman" w:eastAsiaTheme="minorEastAsia" w:hAnsi="Times New Roman" w:cstheme="minorBidi"/>
      </w:rPr>
    </w:lvl>
    <w:lvl w:ilvl="3" w:tplc="B04868CC" w:tentative="1">
      <w:start w:val="1"/>
      <w:numFmt w:val="decimal"/>
      <w:lvlText w:val="%4."/>
      <w:lvlJc w:val="left"/>
      <w:pPr>
        <w:ind w:left="2880" w:hanging="360"/>
      </w:pPr>
    </w:lvl>
    <w:lvl w:ilvl="4" w:tplc="D44AAD02" w:tentative="1">
      <w:start w:val="1"/>
      <w:numFmt w:val="lowerLetter"/>
      <w:lvlText w:val="%5."/>
      <w:lvlJc w:val="left"/>
      <w:pPr>
        <w:ind w:left="3600" w:hanging="360"/>
      </w:pPr>
    </w:lvl>
    <w:lvl w:ilvl="5" w:tplc="C2F82A44" w:tentative="1">
      <w:start w:val="1"/>
      <w:numFmt w:val="lowerRoman"/>
      <w:lvlText w:val="%6."/>
      <w:lvlJc w:val="right"/>
      <w:pPr>
        <w:ind w:left="4320" w:hanging="180"/>
      </w:pPr>
    </w:lvl>
    <w:lvl w:ilvl="6" w:tplc="FCEA1F6C" w:tentative="1">
      <w:start w:val="1"/>
      <w:numFmt w:val="decimal"/>
      <w:lvlText w:val="%7."/>
      <w:lvlJc w:val="left"/>
      <w:pPr>
        <w:ind w:left="5040" w:hanging="360"/>
      </w:pPr>
    </w:lvl>
    <w:lvl w:ilvl="7" w:tplc="CB48102C" w:tentative="1">
      <w:start w:val="1"/>
      <w:numFmt w:val="lowerLetter"/>
      <w:lvlText w:val="%8."/>
      <w:lvlJc w:val="left"/>
      <w:pPr>
        <w:ind w:left="5760" w:hanging="360"/>
      </w:pPr>
    </w:lvl>
    <w:lvl w:ilvl="8" w:tplc="D124E4AE" w:tentative="1">
      <w:start w:val="1"/>
      <w:numFmt w:val="lowerRoman"/>
      <w:lvlText w:val="%9."/>
      <w:lvlJc w:val="right"/>
      <w:pPr>
        <w:ind w:left="6480" w:hanging="180"/>
      </w:pPr>
    </w:lvl>
  </w:abstractNum>
  <w:abstractNum w:abstractNumId="19" w15:restartNumberingAfterBreak="0">
    <w:nsid w:val="4DEA5DA1"/>
    <w:multiLevelType w:val="hybridMultilevel"/>
    <w:tmpl w:val="9440ED56"/>
    <w:lvl w:ilvl="0" w:tplc="D89C6CF6">
      <w:start w:val="1"/>
      <w:numFmt w:val="decimal"/>
      <w:lvlText w:val="(%1)"/>
      <w:lvlJc w:val="left"/>
      <w:pPr>
        <w:ind w:left="720" w:hanging="360"/>
      </w:pPr>
      <w:rPr>
        <w:rFonts w:hint="default"/>
      </w:rPr>
    </w:lvl>
    <w:lvl w:ilvl="1" w:tplc="776E4C2E">
      <w:start w:val="1"/>
      <w:numFmt w:val="lowerLetter"/>
      <w:lvlText w:val="(%2)"/>
      <w:lvlJc w:val="left"/>
      <w:pPr>
        <w:ind w:left="1440" w:hanging="360"/>
      </w:pPr>
      <w:rPr>
        <w:rFonts w:hint="default"/>
      </w:rPr>
    </w:lvl>
    <w:lvl w:ilvl="2" w:tplc="04128386">
      <w:start w:val="1"/>
      <w:numFmt w:val="lowerRoman"/>
      <w:lvlText w:val="(%3)"/>
      <w:lvlJc w:val="left"/>
      <w:pPr>
        <w:ind w:left="2340" w:hanging="360"/>
      </w:pPr>
      <w:rPr>
        <w:rFonts w:ascii="Times New Roman" w:eastAsiaTheme="minorEastAsia" w:hAnsi="Times New Roman" w:cstheme="minorBidi"/>
      </w:rPr>
    </w:lvl>
    <w:lvl w:ilvl="3" w:tplc="37BC98E4" w:tentative="1">
      <w:start w:val="1"/>
      <w:numFmt w:val="decimal"/>
      <w:lvlText w:val="%4."/>
      <w:lvlJc w:val="left"/>
      <w:pPr>
        <w:ind w:left="2880" w:hanging="360"/>
      </w:pPr>
    </w:lvl>
    <w:lvl w:ilvl="4" w:tplc="093C9636" w:tentative="1">
      <w:start w:val="1"/>
      <w:numFmt w:val="lowerLetter"/>
      <w:lvlText w:val="%5."/>
      <w:lvlJc w:val="left"/>
      <w:pPr>
        <w:ind w:left="3600" w:hanging="360"/>
      </w:pPr>
    </w:lvl>
    <w:lvl w:ilvl="5" w:tplc="239EA9EC" w:tentative="1">
      <w:start w:val="1"/>
      <w:numFmt w:val="lowerRoman"/>
      <w:lvlText w:val="%6."/>
      <w:lvlJc w:val="right"/>
      <w:pPr>
        <w:ind w:left="4320" w:hanging="180"/>
      </w:pPr>
    </w:lvl>
    <w:lvl w:ilvl="6" w:tplc="563EF03E" w:tentative="1">
      <w:start w:val="1"/>
      <w:numFmt w:val="decimal"/>
      <w:lvlText w:val="%7."/>
      <w:lvlJc w:val="left"/>
      <w:pPr>
        <w:ind w:left="5040" w:hanging="360"/>
      </w:pPr>
    </w:lvl>
    <w:lvl w:ilvl="7" w:tplc="19DA18C6" w:tentative="1">
      <w:start w:val="1"/>
      <w:numFmt w:val="lowerLetter"/>
      <w:lvlText w:val="%8."/>
      <w:lvlJc w:val="left"/>
      <w:pPr>
        <w:ind w:left="5760" w:hanging="360"/>
      </w:pPr>
    </w:lvl>
    <w:lvl w:ilvl="8" w:tplc="E93080BE" w:tentative="1">
      <w:start w:val="1"/>
      <w:numFmt w:val="lowerRoman"/>
      <w:lvlText w:val="%9."/>
      <w:lvlJc w:val="right"/>
      <w:pPr>
        <w:ind w:left="6480" w:hanging="180"/>
      </w:pPr>
    </w:lvl>
  </w:abstractNum>
  <w:abstractNum w:abstractNumId="20" w15:restartNumberingAfterBreak="0">
    <w:nsid w:val="4FCE5D24"/>
    <w:multiLevelType w:val="hybridMultilevel"/>
    <w:tmpl w:val="F0626756"/>
    <w:lvl w:ilvl="0" w:tplc="6518AE8C">
      <w:start w:val="1"/>
      <w:numFmt w:val="decimal"/>
      <w:lvlText w:val="(%1)"/>
      <w:lvlJc w:val="left"/>
      <w:pPr>
        <w:ind w:left="720" w:hanging="360"/>
      </w:pPr>
      <w:rPr>
        <w:rFonts w:hint="default"/>
      </w:rPr>
    </w:lvl>
    <w:lvl w:ilvl="1" w:tplc="B92A266A">
      <w:start w:val="1"/>
      <w:numFmt w:val="lowerLetter"/>
      <w:lvlText w:val="(%2)"/>
      <w:lvlJc w:val="left"/>
      <w:pPr>
        <w:ind w:left="1440" w:hanging="360"/>
      </w:pPr>
      <w:rPr>
        <w:rFonts w:ascii="Times New Roman" w:eastAsiaTheme="minorEastAsia" w:hAnsi="Times New Roman" w:cstheme="minorBidi"/>
      </w:rPr>
    </w:lvl>
    <w:lvl w:ilvl="2" w:tplc="F39ADD5A" w:tentative="1">
      <w:start w:val="1"/>
      <w:numFmt w:val="lowerRoman"/>
      <w:lvlText w:val="%3."/>
      <w:lvlJc w:val="right"/>
      <w:pPr>
        <w:ind w:left="2160" w:hanging="180"/>
      </w:pPr>
    </w:lvl>
    <w:lvl w:ilvl="3" w:tplc="60C26F30" w:tentative="1">
      <w:start w:val="1"/>
      <w:numFmt w:val="decimal"/>
      <w:lvlText w:val="%4."/>
      <w:lvlJc w:val="left"/>
      <w:pPr>
        <w:ind w:left="2880" w:hanging="360"/>
      </w:pPr>
    </w:lvl>
    <w:lvl w:ilvl="4" w:tplc="DFEAA830" w:tentative="1">
      <w:start w:val="1"/>
      <w:numFmt w:val="lowerLetter"/>
      <w:lvlText w:val="%5."/>
      <w:lvlJc w:val="left"/>
      <w:pPr>
        <w:ind w:left="3600" w:hanging="360"/>
      </w:pPr>
    </w:lvl>
    <w:lvl w:ilvl="5" w:tplc="B92C6498" w:tentative="1">
      <w:start w:val="1"/>
      <w:numFmt w:val="lowerRoman"/>
      <w:lvlText w:val="%6."/>
      <w:lvlJc w:val="right"/>
      <w:pPr>
        <w:ind w:left="4320" w:hanging="180"/>
      </w:pPr>
    </w:lvl>
    <w:lvl w:ilvl="6" w:tplc="AA923F5E" w:tentative="1">
      <w:start w:val="1"/>
      <w:numFmt w:val="decimal"/>
      <w:lvlText w:val="%7."/>
      <w:lvlJc w:val="left"/>
      <w:pPr>
        <w:ind w:left="5040" w:hanging="360"/>
      </w:pPr>
    </w:lvl>
    <w:lvl w:ilvl="7" w:tplc="58E23E44" w:tentative="1">
      <w:start w:val="1"/>
      <w:numFmt w:val="lowerLetter"/>
      <w:lvlText w:val="%8."/>
      <w:lvlJc w:val="left"/>
      <w:pPr>
        <w:ind w:left="5760" w:hanging="360"/>
      </w:pPr>
    </w:lvl>
    <w:lvl w:ilvl="8" w:tplc="0C149986" w:tentative="1">
      <w:start w:val="1"/>
      <w:numFmt w:val="lowerRoman"/>
      <w:lvlText w:val="%9."/>
      <w:lvlJc w:val="right"/>
      <w:pPr>
        <w:ind w:left="6480" w:hanging="180"/>
      </w:pPr>
    </w:lvl>
  </w:abstractNum>
  <w:abstractNum w:abstractNumId="21" w15:restartNumberingAfterBreak="0">
    <w:nsid w:val="52BF3C7D"/>
    <w:multiLevelType w:val="hybridMultilevel"/>
    <w:tmpl w:val="35E286CE"/>
    <w:lvl w:ilvl="0" w:tplc="BA748E08">
      <w:start w:val="1"/>
      <w:numFmt w:val="lowerLetter"/>
      <w:lvlText w:val="(%1)"/>
      <w:lvlJc w:val="left"/>
      <w:pPr>
        <w:ind w:left="1800" w:hanging="360"/>
      </w:pPr>
      <w:rPr>
        <w:rFonts w:hint="default"/>
      </w:rPr>
    </w:lvl>
    <w:lvl w:ilvl="1" w:tplc="4AC84BD6">
      <w:start w:val="1"/>
      <w:numFmt w:val="lowerRoman"/>
      <w:lvlText w:val="(%2)"/>
      <w:lvlJc w:val="left"/>
      <w:pPr>
        <w:ind w:left="1440" w:hanging="360"/>
      </w:pPr>
      <w:rPr>
        <w:rFonts w:ascii="Times New Roman" w:eastAsiaTheme="minorEastAsia" w:hAnsi="Times New Roman" w:cstheme="minorBidi"/>
      </w:rPr>
    </w:lvl>
    <w:lvl w:ilvl="2" w:tplc="ABAEDFCC">
      <w:start w:val="1"/>
      <w:numFmt w:val="lowerRoman"/>
      <w:lvlText w:val="(%3)"/>
      <w:lvlJc w:val="left"/>
      <w:pPr>
        <w:ind w:left="3455" w:hanging="395"/>
      </w:pPr>
      <w:rPr>
        <w:rFonts w:ascii="Times New Roman" w:eastAsiaTheme="minorEastAsia" w:hAnsi="Times New Roman" w:cstheme="minorBidi"/>
      </w:rPr>
    </w:lvl>
    <w:lvl w:ilvl="3" w:tplc="29BA29CC">
      <w:start w:val="1"/>
      <w:numFmt w:val="upperLetter"/>
      <w:lvlText w:val="(%4)"/>
      <w:lvlJc w:val="left"/>
      <w:pPr>
        <w:ind w:left="3960" w:hanging="360"/>
      </w:pPr>
      <w:rPr>
        <w:rFonts w:ascii="Times New Roman" w:eastAsiaTheme="minorEastAsia" w:hAnsi="Times New Roman" w:cstheme="minorBidi"/>
      </w:rPr>
    </w:lvl>
    <w:lvl w:ilvl="4" w:tplc="DA3CD102">
      <w:start w:val="1"/>
      <w:numFmt w:val="lowerLetter"/>
      <w:lvlText w:val="%5."/>
      <w:lvlJc w:val="left"/>
      <w:pPr>
        <w:ind w:left="4680" w:hanging="360"/>
      </w:pPr>
    </w:lvl>
    <w:lvl w:ilvl="5" w:tplc="B6323C78">
      <w:start w:val="1"/>
      <w:numFmt w:val="decimal"/>
      <w:lvlText w:val="(%6)"/>
      <w:lvlJc w:val="left"/>
      <w:pPr>
        <w:ind w:left="5580" w:hanging="360"/>
      </w:pPr>
      <w:rPr>
        <w:rFonts w:hint="default"/>
      </w:rPr>
    </w:lvl>
    <w:lvl w:ilvl="6" w:tplc="1EFC0A82" w:tentative="1">
      <w:start w:val="1"/>
      <w:numFmt w:val="decimal"/>
      <w:lvlText w:val="%7."/>
      <w:lvlJc w:val="left"/>
      <w:pPr>
        <w:ind w:left="6120" w:hanging="360"/>
      </w:pPr>
    </w:lvl>
    <w:lvl w:ilvl="7" w:tplc="6156ABAE" w:tentative="1">
      <w:start w:val="1"/>
      <w:numFmt w:val="lowerLetter"/>
      <w:lvlText w:val="%8."/>
      <w:lvlJc w:val="left"/>
      <w:pPr>
        <w:ind w:left="6840" w:hanging="360"/>
      </w:pPr>
    </w:lvl>
    <w:lvl w:ilvl="8" w:tplc="A0960462" w:tentative="1">
      <w:start w:val="1"/>
      <w:numFmt w:val="lowerRoman"/>
      <w:lvlText w:val="%9."/>
      <w:lvlJc w:val="right"/>
      <w:pPr>
        <w:ind w:left="7560" w:hanging="180"/>
      </w:pPr>
    </w:lvl>
  </w:abstractNum>
  <w:abstractNum w:abstractNumId="22" w15:restartNumberingAfterBreak="0">
    <w:nsid w:val="53076DEF"/>
    <w:multiLevelType w:val="hybridMultilevel"/>
    <w:tmpl w:val="89ECBD90"/>
    <w:lvl w:ilvl="0" w:tplc="B9849CB0">
      <w:start w:val="1"/>
      <w:numFmt w:val="lowerLetter"/>
      <w:lvlText w:val="(%1)"/>
      <w:lvlJc w:val="left"/>
      <w:pPr>
        <w:ind w:left="1110" w:hanging="39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565ED4"/>
    <w:multiLevelType w:val="hybridMultilevel"/>
    <w:tmpl w:val="FE4AECD6"/>
    <w:lvl w:ilvl="0" w:tplc="9036FA28">
      <w:start w:val="1"/>
      <w:numFmt w:val="decimal"/>
      <w:lvlText w:val="(%1)"/>
      <w:lvlJc w:val="left"/>
      <w:pPr>
        <w:ind w:left="1080" w:hanging="360"/>
      </w:pPr>
      <w:rPr>
        <w:rFonts w:hint="default"/>
      </w:rPr>
    </w:lvl>
    <w:lvl w:ilvl="1" w:tplc="78780906">
      <w:start w:val="1"/>
      <w:numFmt w:val="lowerLetter"/>
      <w:lvlText w:val="(%2)"/>
      <w:lvlJc w:val="left"/>
      <w:pPr>
        <w:ind w:left="1800" w:hanging="360"/>
      </w:pPr>
      <w:rPr>
        <w:rFonts w:ascii="Times New Roman" w:eastAsiaTheme="minorEastAsia" w:hAnsi="Times New Roman" w:cstheme="minorBidi"/>
      </w:rPr>
    </w:lvl>
    <w:lvl w:ilvl="2" w:tplc="67D60330">
      <w:start w:val="1"/>
      <w:numFmt w:val="lowerLetter"/>
      <w:lvlText w:val="(%3)"/>
      <w:lvlJc w:val="left"/>
      <w:pPr>
        <w:ind w:left="2700" w:hanging="360"/>
      </w:pPr>
      <w:rPr>
        <w:rFonts w:hint="default"/>
      </w:rPr>
    </w:lvl>
    <w:lvl w:ilvl="3" w:tplc="BD783F4C" w:tentative="1">
      <w:start w:val="1"/>
      <w:numFmt w:val="decimal"/>
      <w:lvlText w:val="%4."/>
      <w:lvlJc w:val="left"/>
      <w:pPr>
        <w:ind w:left="3240" w:hanging="360"/>
      </w:pPr>
    </w:lvl>
    <w:lvl w:ilvl="4" w:tplc="96363A5C" w:tentative="1">
      <w:start w:val="1"/>
      <w:numFmt w:val="lowerLetter"/>
      <w:lvlText w:val="%5."/>
      <w:lvlJc w:val="left"/>
      <w:pPr>
        <w:ind w:left="3960" w:hanging="360"/>
      </w:pPr>
    </w:lvl>
    <w:lvl w:ilvl="5" w:tplc="5C56AC68" w:tentative="1">
      <w:start w:val="1"/>
      <w:numFmt w:val="lowerRoman"/>
      <w:lvlText w:val="%6."/>
      <w:lvlJc w:val="right"/>
      <w:pPr>
        <w:ind w:left="4680" w:hanging="180"/>
      </w:pPr>
    </w:lvl>
    <w:lvl w:ilvl="6" w:tplc="895047E6" w:tentative="1">
      <w:start w:val="1"/>
      <w:numFmt w:val="decimal"/>
      <w:lvlText w:val="%7."/>
      <w:lvlJc w:val="left"/>
      <w:pPr>
        <w:ind w:left="5400" w:hanging="360"/>
      </w:pPr>
    </w:lvl>
    <w:lvl w:ilvl="7" w:tplc="A754ABC2" w:tentative="1">
      <w:start w:val="1"/>
      <w:numFmt w:val="lowerLetter"/>
      <w:lvlText w:val="%8."/>
      <w:lvlJc w:val="left"/>
      <w:pPr>
        <w:ind w:left="6120" w:hanging="360"/>
      </w:pPr>
    </w:lvl>
    <w:lvl w:ilvl="8" w:tplc="BB7E44D0" w:tentative="1">
      <w:start w:val="1"/>
      <w:numFmt w:val="lowerRoman"/>
      <w:lvlText w:val="%9."/>
      <w:lvlJc w:val="right"/>
      <w:pPr>
        <w:ind w:left="6840" w:hanging="180"/>
      </w:pPr>
    </w:lvl>
  </w:abstractNum>
  <w:abstractNum w:abstractNumId="24" w15:restartNumberingAfterBreak="0">
    <w:nsid w:val="60126D28"/>
    <w:multiLevelType w:val="hybridMultilevel"/>
    <w:tmpl w:val="2AD0D314"/>
    <w:lvl w:ilvl="0" w:tplc="F11431C0">
      <w:start w:val="1"/>
      <w:numFmt w:val="lowerLetter"/>
      <w:lvlText w:val="(%1)"/>
      <w:lvlJc w:val="left"/>
      <w:pPr>
        <w:ind w:left="1800" w:hanging="360"/>
      </w:pPr>
      <w:rPr>
        <w:rFonts w:hint="default"/>
      </w:rPr>
    </w:lvl>
    <w:lvl w:ilvl="1" w:tplc="13F4E9D0">
      <w:start w:val="1"/>
      <w:numFmt w:val="lowerRoman"/>
      <w:lvlText w:val="(%2)"/>
      <w:lvlJc w:val="left"/>
      <w:pPr>
        <w:ind w:left="1440" w:hanging="360"/>
      </w:pPr>
      <w:rPr>
        <w:rFonts w:ascii="Times New Roman" w:eastAsiaTheme="minorEastAsia" w:hAnsi="Times New Roman" w:cstheme="minorBidi"/>
      </w:rPr>
    </w:lvl>
    <w:lvl w:ilvl="2" w:tplc="8E54D64C">
      <w:start w:val="1"/>
      <w:numFmt w:val="lowerRoman"/>
      <w:lvlText w:val="(%3)"/>
      <w:lvlJc w:val="left"/>
      <w:pPr>
        <w:ind w:left="3455" w:hanging="395"/>
      </w:pPr>
      <w:rPr>
        <w:rFonts w:ascii="Times New Roman" w:eastAsiaTheme="minorEastAsia" w:hAnsi="Times New Roman" w:cstheme="minorBidi"/>
      </w:rPr>
    </w:lvl>
    <w:lvl w:ilvl="3" w:tplc="BF70BF22">
      <w:start w:val="1"/>
      <w:numFmt w:val="upperLetter"/>
      <w:lvlText w:val="(%4)"/>
      <w:lvlJc w:val="left"/>
      <w:pPr>
        <w:ind w:left="3960" w:hanging="360"/>
      </w:pPr>
      <w:rPr>
        <w:rFonts w:ascii="Times New Roman" w:eastAsiaTheme="minorEastAsia" w:hAnsi="Times New Roman" w:cstheme="minorBidi"/>
      </w:rPr>
    </w:lvl>
    <w:lvl w:ilvl="4" w:tplc="F28457D6">
      <w:start w:val="1"/>
      <w:numFmt w:val="lowerLetter"/>
      <w:lvlText w:val="%5."/>
      <w:lvlJc w:val="left"/>
      <w:pPr>
        <w:ind w:left="4680" w:hanging="360"/>
      </w:pPr>
    </w:lvl>
    <w:lvl w:ilvl="5" w:tplc="39DCFEFE">
      <w:start w:val="1"/>
      <w:numFmt w:val="decimal"/>
      <w:lvlText w:val="(%6)"/>
      <w:lvlJc w:val="left"/>
      <w:pPr>
        <w:ind w:left="720" w:hanging="360"/>
      </w:pPr>
      <w:rPr>
        <w:rFonts w:ascii="Times New Roman" w:eastAsiaTheme="minorEastAsia" w:hAnsi="Times New Roman" w:cstheme="minorBidi"/>
      </w:rPr>
    </w:lvl>
    <w:lvl w:ilvl="6" w:tplc="06F40190">
      <w:start w:val="1"/>
      <w:numFmt w:val="decimal"/>
      <w:lvlText w:val="%7."/>
      <w:lvlJc w:val="left"/>
      <w:pPr>
        <w:ind w:left="6120" w:hanging="360"/>
      </w:pPr>
    </w:lvl>
    <w:lvl w:ilvl="7" w:tplc="70EC71EE" w:tentative="1">
      <w:start w:val="1"/>
      <w:numFmt w:val="lowerLetter"/>
      <w:lvlText w:val="%8."/>
      <w:lvlJc w:val="left"/>
      <w:pPr>
        <w:ind w:left="6840" w:hanging="360"/>
      </w:pPr>
    </w:lvl>
    <w:lvl w:ilvl="8" w:tplc="522253BE" w:tentative="1">
      <w:start w:val="1"/>
      <w:numFmt w:val="lowerRoman"/>
      <w:lvlText w:val="%9."/>
      <w:lvlJc w:val="right"/>
      <w:pPr>
        <w:ind w:left="7560" w:hanging="180"/>
      </w:pPr>
    </w:lvl>
  </w:abstractNum>
  <w:abstractNum w:abstractNumId="25" w15:restartNumberingAfterBreak="0">
    <w:nsid w:val="62AA51A4"/>
    <w:multiLevelType w:val="multilevel"/>
    <w:tmpl w:val="6C9CFA1E"/>
    <w:styleLink w:val="DWNumber"/>
    <w:lvl w:ilvl="0">
      <w:start w:val="1"/>
      <w:numFmt w:val="decimal"/>
      <w:pStyle w:val="DWListNumber"/>
      <w:lvlText w:val="%1."/>
      <w:lvlJc w:val="left"/>
      <w:pPr>
        <w:ind w:left="1440" w:hanging="720"/>
      </w:pPr>
      <w:rPr>
        <w:rFonts w:ascii="Times New Roman" w:hAnsi="Times New Roman"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34A4F37"/>
    <w:multiLevelType w:val="hybridMultilevel"/>
    <w:tmpl w:val="378EBB56"/>
    <w:lvl w:ilvl="0" w:tplc="C51A15D0">
      <w:start w:val="1"/>
      <w:numFmt w:val="lowerRoman"/>
      <w:lvlText w:val="(%1)"/>
      <w:lvlJc w:val="left"/>
      <w:pPr>
        <w:ind w:left="2160" w:hanging="180"/>
      </w:pPr>
      <w:rPr>
        <w:rFonts w:ascii="Times New Roman" w:eastAsiaTheme="minorEastAsia" w:hAnsi="Times New Roman" w:cstheme="minorBidi" w:hint="default"/>
      </w:rPr>
    </w:lvl>
    <w:lvl w:ilvl="1" w:tplc="29C6D43C" w:tentative="1">
      <w:start w:val="1"/>
      <w:numFmt w:val="lowerLetter"/>
      <w:lvlText w:val="%2."/>
      <w:lvlJc w:val="left"/>
      <w:pPr>
        <w:ind w:left="1440" w:hanging="360"/>
      </w:pPr>
    </w:lvl>
    <w:lvl w:ilvl="2" w:tplc="8CEA713A" w:tentative="1">
      <w:start w:val="1"/>
      <w:numFmt w:val="lowerRoman"/>
      <w:lvlText w:val="%3."/>
      <w:lvlJc w:val="right"/>
      <w:pPr>
        <w:ind w:left="2160" w:hanging="180"/>
      </w:pPr>
    </w:lvl>
    <w:lvl w:ilvl="3" w:tplc="16A88FEC" w:tentative="1">
      <w:start w:val="1"/>
      <w:numFmt w:val="decimal"/>
      <w:lvlText w:val="%4."/>
      <w:lvlJc w:val="left"/>
      <w:pPr>
        <w:ind w:left="2880" w:hanging="360"/>
      </w:pPr>
    </w:lvl>
    <w:lvl w:ilvl="4" w:tplc="B8146EBA" w:tentative="1">
      <w:start w:val="1"/>
      <w:numFmt w:val="lowerLetter"/>
      <w:lvlText w:val="%5."/>
      <w:lvlJc w:val="left"/>
      <w:pPr>
        <w:ind w:left="3600" w:hanging="360"/>
      </w:pPr>
    </w:lvl>
    <w:lvl w:ilvl="5" w:tplc="4CD060EA" w:tentative="1">
      <w:start w:val="1"/>
      <w:numFmt w:val="lowerRoman"/>
      <w:lvlText w:val="%6."/>
      <w:lvlJc w:val="right"/>
      <w:pPr>
        <w:ind w:left="4320" w:hanging="180"/>
      </w:pPr>
    </w:lvl>
    <w:lvl w:ilvl="6" w:tplc="7FCE7714" w:tentative="1">
      <w:start w:val="1"/>
      <w:numFmt w:val="decimal"/>
      <w:lvlText w:val="%7."/>
      <w:lvlJc w:val="left"/>
      <w:pPr>
        <w:ind w:left="5040" w:hanging="360"/>
      </w:pPr>
    </w:lvl>
    <w:lvl w:ilvl="7" w:tplc="B10002D0" w:tentative="1">
      <w:start w:val="1"/>
      <w:numFmt w:val="lowerLetter"/>
      <w:lvlText w:val="%8."/>
      <w:lvlJc w:val="left"/>
      <w:pPr>
        <w:ind w:left="5760" w:hanging="360"/>
      </w:pPr>
    </w:lvl>
    <w:lvl w:ilvl="8" w:tplc="2B70F6F8" w:tentative="1">
      <w:start w:val="1"/>
      <w:numFmt w:val="lowerRoman"/>
      <w:lvlText w:val="%9."/>
      <w:lvlJc w:val="right"/>
      <w:pPr>
        <w:ind w:left="6480" w:hanging="180"/>
      </w:pPr>
    </w:lvl>
  </w:abstractNum>
  <w:abstractNum w:abstractNumId="27" w15:restartNumberingAfterBreak="0">
    <w:nsid w:val="649044AC"/>
    <w:multiLevelType w:val="multilevel"/>
    <w:tmpl w:val="68DE8F7A"/>
    <w:numStyleLink w:val="ListNum4"/>
  </w:abstractNum>
  <w:abstractNum w:abstractNumId="28" w15:restartNumberingAfterBreak="0">
    <w:nsid w:val="68554D7D"/>
    <w:multiLevelType w:val="hybridMultilevel"/>
    <w:tmpl w:val="7E620EF6"/>
    <w:lvl w:ilvl="0" w:tplc="7AE2D71E">
      <w:start w:val="1"/>
      <w:numFmt w:val="decimal"/>
      <w:lvlText w:val="(%1)"/>
      <w:lvlJc w:val="left"/>
      <w:pPr>
        <w:ind w:left="720" w:hanging="360"/>
      </w:pPr>
      <w:rPr>
        <w:rFonts w:hint="default"/>
      </w:rPr>
    </w:lvl>
    <w:lvl w:ilvl="1" w:tplc="1B7838AE">
      <w:start w:val="1"/>
      <w:numFmt w:val="lowerLetter"/>
      <w:lvlText w:val="(%2)"/>
      <w:lvlJc w:val="left"/>
      <w:pPr>
        <w:ind w:left="1440" w:hanging="360"/>
      </w:pPr>
      <w:rPr>
        <w:rFonts w:hint="default"/>
      </w:rPr>
    </w:lvl>
    <w:lvl w:ilvl="2" w:tplc="ED2C677E" w:tentative="1">
      <w:start w:val="1"/>
      <w:numFmt w:val="lowerRoman"/>
      <w:lvlText w:val="%3."/>
      <w:lvlJc w:val="right"/>
      <w:pPr>
        <w:ind w:left="2160" w:hanging="180"/>
      </w:pPr>
    </w:lvl>
    <w:lvl w:ilvl="3" w:tplc="DDC2E6B2" w:tentative="1">
      <w:start w:val="1"/>
      <w:numFmt w:val="decimal"/>
      <w:lvlText w:val="%4."/>
      <w:lvlJc w:val="left"/>
      <w:pPr>
        <w:ind w:left="2880" w:hanging="360"/>
      </w:pPr>
    </w:lvl>
    <w:lvl w:ilvl="4" w:tplc="F2C28698" w:tentative="1">
      <w:start w:val="1"/>
      <w:numFmt w:val="lowerLetter"/>
      <w:lvlText w:val="%5."/>
      <w:lvlJc w:val="left"/>
      <w:pPr>
        <w:ind w:left="3600" w:hanging="360"/>
      </w:pPr>
    </w:lvl>
    <w:lvl w:ilvl="5" w:tplc="EF5E7D82" w:tentative="1">
      <w:start w:val="1"/>
      <w:numFmt w:val="lowerRoman"/>
      <w:lvlText w:val="%6."/>
      <w:lvlJc w:val="right"/>
      <w:pPr>
        <w:ind w:left="4320" w:hanging="180"/>
      </w:pPr>
    </w:lvl>
    <w:lvl w:ilvl="6" w:tplc="6CA8FF3E" w:tentative="1">
      <w:start w:val="1"/>
      <w:numFmt w:val="decimal"/>
      <w:lvlText w:val="%7."/>
      <w:lvlJc w:val="left"/>
      <w:pPr>
        <w:ind w:left="5040" w:hanging="360"/>
      </w:pPr>
    </w:lvl>
    <w:lvl w:ilvl="7" w:tplc="8FF40EA2" w:tentative="1">
      <w:start w:val="1"/>
      <w:numFmt w:val="lowerLetter"/>
      <w:lvlText w:val="%8."/>
      <w:lvlJc w:val="left"/>
      <w:pPr>
        <w:ind w:left="5760" w:hanging="360"/>
      </w:pPr>
    </w:lvl>
    <w:lvl w:ilvl="8" w:tplc="AA26041E" w:tentative="1">
      <w:start w:val="1"/>
      <w:numFmt w:val="lowerRoman"/>
      <w:lvlText w:val="%9."/>
      <w:lvlJc w:val="right"/>
      <w:pPr>
        <w:ind w:left="6480" w:hanging="180"/>
      </w:pPr>
    </w:lvl>
  </w:abstractNum>
  <w:abstractNum w:abstractNumId="29" w15:restartNumberingAfterBreak="0">
    <w:nsid w:val="687D437F"/>
    <w:multiLevelType w:val="hybridMultilevel"/>
    <w:tmpl w:val="D88E6D12"/>
    <w:lvl w:ilvl="0" w:tplc="91108A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B34FDD"/>
    <w:multiLevelType w:val="hybridMultilevel"/>
    <w:tmpl w:val="0C08EE12"/>
    <w:lvl w:ilvl="0" w:tplc="E43EC4E4">
      <w:start w:val="1"/>
      <w:numFmt w:val="decimal"/>
      <w:lvlText w:val="(%1)"/>
      <w:lvlJc w:val="left"/>
      <w:pPr>
        <w:ind w:left="1080" w:hanging="360"/>
      </w:pPr>
      <w:rPr>
        <w:rFonts w:ascii="Times New Roman" w:eastAsiaTheme="minorEastAsia" w:hAnsi="Times New Roman"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7F9505A"/>
    <w:multiLevelType w:val="multilevel"/>
    <w:tmpl w:val="C008874E"/>
    <w:styleLink w:val="ListNum3"/>
    <w:lvl w:ilvl="0">
      <w:start w:val="1"/>
      <w:numFmt w:val="decimal"/>
      <w:pStyle w:val="ListNumber3"/>
      <w:lvlText w:val="%1."/>
      <w:lvlJc w:val="left"/>
      <w:pPr>
        <w:ind w:left="216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9DE1028"/>
    <w:multiLevelType w:val="multilevel"/>
    <w:tmpl w:val="ACFCC206"/>
    <w:styleLink w:val="ListBull3"/>
    <w:lvl w:ilvl="0">
      <w:start w:val="1"/>
      <w:numFmt w:val="bullet"/>
      <w:pStyle w:val="ListBullet3"/>
      <w:lvlText w:val=""/>
      <w:lvlJc w:val="left"/>
      <w:pPr>
        <w:ind w:left="2160" w:hanging="72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B1B065F"/>
    <w:multiLevelType w:val="hybridMultilevel"/>
    <w:tmpl w:val="29C6FF4A"/>
    <w:lvl w:ilvl="0" w:tplc="C6EE2AC8">
      <w:start w:val="1"/>
      <w:numFmt w:val="decimal"/>
      <w:lvlText w:val="(%1)"/>
      <w:lvlJc w:val="left"/>
      <w:pPr>
        <w:ind w:left="720" w:hanging="360"/>
      </w:pPr>
      <w:rPr>
        <w:rFonts w:hint="default"/>
      </w:rPr>
    </w:lvl>
    <w:lvl w:ilvl="1" w:tplc="8DCA0F78">
      <w:start w:val="1"/>
      <w:numFmt w:val="lowerLetter"/>
      <w:lvlText w:val="(%2)"/>
      <w:lvlJc w:val="left"/>
      <w:pPr>
        <w:ind w:left="1440" w:hanging="360"/>
      </w:pPr>
      <w:rPr>
        <w:rFonts w:hint="default"/>
      </w:rPr>
    </w:lvl>
    <w:lvl w:ilvl="2" w:tplc="DF9264B4">
      <w:start w:val="1"/>
      <w:numFmt w:val="lowerRoman"/>
      <w:lvlText w:val="(%3)"/>
      <w:lvlJc w:val="left"/>
      <w:pPr>
        <w:ind w:left="2340" w:hanging="360"/>
      </w:pPr>
      <w:rPr>
        <w:rFonts w:ascii="Times New Roman" w:eastAsiaTheme="minorEastAsia" w:hAnsi="Times New Roman" w:cstheme="minorBidi"/>
      </w:rPr>
    </w:lvl>
    <w:lvl w:ilvl="3" w:tplc="B05AF598" w:tentative="1">
      <w:start w:val="1"/>
      <w:numFmt w:val="decimal"/>
      <w:lvlText w:val="%4."/>
      <w:lvlJc w:val="left"/>
      <w:pPr>
        <w:ind w:left="2880" w:hanging="360"/>
      </w:pPr>
    </w:lvl>
    <w:lvl w:ilvl="4" w:tplc="77EC1430" w:tentative="1">
      <w:start w:val="1"/>
      <w:numFmt w:val="lowerLetter"/>
      <w:lvlText w:val="%5."/>
      <w:lvlJc w:val="left"/>
      <w:pPr>
        <w:ind w:left="3600" w:hanging="360"/>
      </w:pPr>
    </w:lvl>
    <w:lvl w:ilvl="5" w:tplc="B9CC6734" w:tentative="1">
      <w:start w:val="1"/>
      <w:numFmt w:val="lowerRoman"/>
      <w:lvlText w:val="%6."/>
      <w:lvlJc w:val="right"/>
      <w:pPr>
        <w:ind w:left="4320" w:hanging="180"/>
      </w:pPr>
    </w:lvl>
    <w:lvl w:ilvl="6" w:tplc="9EC6B2D0" w:tentative="1">
      <w:start w:val="1"/>
      <w:numFmt w:val="decimal"/>
      <w:lvlText w:val="%7."/>
      <w:lvlJc w:val="left"/>
      <w:pPr>
        <w:ind w:left="5040" w:hanging="360"/>
      </w:pPr>
    </w:lvl>
    <w:lvl w:ilvl="7" w:tplc="747883D0" w:tentative="1">
      <w:start w:val="1"/>
      <w:numFmt w:val="lowerLetter"/>
      <w:lvlText w:val="%8."/>
      <w:lvlJc w:val="left"/>
      <w:pPr>
        <w:ind w:left="5760" w:hanging="360"/>
      </w:pPr>
    </w:lvl>
    <w:lvl w:ilvl="8" w:tplc="5680EB98" w:tentative="1">
      <w:start w:val="1"/>
      <w:numFmt w:val="lowerRoman"/>
      <w:lvlText w:val="%9."/>
      <w:lvlJc w:val="right"/>
      <w:pPr>
        <w:ind w:left="6480" w:hanging="180"/>
      </w:pPr>
    </w:lvl>
  </w:abstractNum>
  <w:abstractNum w:abstractNumId="34" w15:restartNumberingAfterBreak="0">
    <w:nsid w:val="7B427898"/>
    <w:multiLevelType w:val="hybridMultilevel"/>
    <w:tmpl w:val="8AD48734"/>
    <w:lvl w:ilvl="0" w:tplc="450897E0">
      <w:start w:val="1"/>
      <w:numFmt w:val="lowerLetter"/>
      <w:lvlText w:val="(%1)"/>
      <w:lvlJc w:val="left"/>
      <w:pPr>
        <w:ind w:left="1800" w:hanging="360"/>
      </w:pPr>
      <w:rPr>
        <w:rFonts w:hint="default"/>
      </w:rPr>
    </w:lvl>
    <w:lvl w:ilvl="1" w:tplc="FE769952">
      <w:start w:val="1"/>
      <w:numFmt w:val="lowerRoman"/>
      <w:lvlText w:val="(%2)"/>
      <w:lvlJc w:val="left"/>
      <w:pPr>
        <w:ind w:left="1440" w:hanging="360"/>
      </w:pPr>
      <w:rPr>
        <w:rFonts w:ascii="Times New Roman" w:eastAsiaTheme="minorEastAsia" w:hAnsi="Times New Roman" w:cstheme="minorBidi"/>
      </w:rPr>
    </w:lvl>
    <w:lvl w:ilvl="2" w:tplc="4F501EF6">
      <w:start w:val="1"/>
      <w:numFmt w:val="lowerRoman"/>
      <w:lvlText w:val="(%3)"/>
      <w:lvlJc w:val="left"/>
      <w:pPr>
        <w:ind w:left="3455" w:hanging="395"/>
      </w:pPr>
      <w:rPr>
        <w:rFonts w:ascii="Times New Roman" w:eastAsiaTheme="minorEastAsia" w:hAnsi="Times New Roman" w:cstheme="minorBidi"/>
      </w:rPr>
    </w:lvl>
    <w:lvl w:ilvl="3" w:tplc="13B8E2AC">
      <w:start w:val="1"/>
      <w:numFmt w:val="upperLetter"/>
      <w:lvlText w:val="(%4)"/>
      <w:lvlJc w:val="left"/>
      <w:pPr>
        <w:ind w:left="3960" w:hanging="360"/>
      </w:pPr>
      <w:rPr>
        <w:rFonts w:ascii="Times New Roman" w:eastAsiaTheme="minorEastAsia" w:hAnsi="Times New Roman" w:cstheme="minorBidi"/>
      </w:rPr>
    </w:lvl>
    <w:lvl w:ilvl="4" w:tplc="A69C26C6">
      <w:start w:val="1"/>
      <w:numFmt w:val="lowerLetter"/>
      <w:lvlText w:val="%5."/>
      <w:lvlJc w:val="left"/>
      <w:pPr>
        <w:ind w:left="4680" w:hanging="360"/>
      </w:pPr>
    </w:lvl>
    <w:lvl w:ilvl="5" w:tplc="F56E4076">
      <w:start w:val="1"/>
      <w:numFmt w:val="decimal"/>
      <w:lvlText w:val="(%6)"/>
      <w:lvlJc w:val="left"/>
      <w:pPr>
        <w:ind w:left="720" w:hanging="360"/>
      </w:pPr>
      <w:rPr>
        <w:rFonts w:ascii="Times New Roman" w:eastAsiaTheme="minorEastAsia" w:hAnsi="Times New Roman" w:cstheme="minorBidi"/>
      </w:rPr>
    </w:lvl>
    <w:lvl w:ilvl="6" w:tplc="74CC27E8">
      <w:start w:val="1"/>
      <w:numFmt w:val="decimal"/>
      <w:lvlText w:val="%7."/>
      <w:lvlJc w:val="left"/>
      <w:pPr>
        <w:ind w:left="6120" w:hanging="360"/>
      </w:pPr>
    </w:lvl>
    <w:lvl w:ilvl="7" w:tplc="3C62E2D0" w:tentative="1">
      <w:start w:val="1"/>
      <w:numFmt w:val="lowerLetter"/>
      <w:lvlText w:val="%8."/>
      <w:lvlJc w:val="left"/>
      <w:pPr>
        <w:ind w:left="6840" w:hanging="360"/>
      </w:pPr>
    </w:lvl>
    <w:lvl w:ilvl="8" w:tplc="D6040834" w:tentative="1">
      <w:start w:val="1"/>
      <w:numFmt w:val="lowerRoman"/>
      <w:lvlText w:val="%9."/>
      <w:lvlJc w:val="right"/>
      <w:pPr>
        <w:ind w:left="7560" w:hanging="180"/>
      </w:pPr>
    </w:lvl>
  </w:abstractNum>
  <w:abstractNum w:abstractNumId="35" w15:restartNumberingAfterBreak="0">
    <w:nsid w:val="7D556C91"/>
    <w:multiLevelType w:val="hybridMultilevel"/>
    <w:tmpl w:val="B4BE94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286978"/>
    <w:multiLevelType w:val="hybridMultilevel"/>
    <w:tmpl w:val="10863A24"/>
    <w:lvl w:ilvl="0" w:tplc="7BDE8BD2">
      <w:start w:val="1"/>
      <w:numFmt w:val="decimal"/>
      <w:lvlText w:val="(%1)"/>
      <w:lvlJc w:val="left"/>
      <w:pPr>
        <w:ind w:left="720" w:hanging="360"/>
      </w:pPr>
      <w:rPr>
        <w:rFonts w:hint="default"/>
      </w:rPr>
    </w:lvl>
    <w:lvl w:ilvl="1" w:tplc="74CAC2F6">
      <w:start w:val="1"/>
      <w:numFmt w:val="lowerLetter"/>
      <w:lvlText w:val="%2."/>
      <w:lvlJc w:val="left"/>
      <w:pPr>
        <w:ind w:left="1440" w:hanging="360"/>
      </w:pPr>
    </w:lvl>
    <w:lvl w:ilvl="2" w:tplc="D5DA84A4" w:tentative="1">
      <w:start w:val="1"/>
      <w:numFmt w:val="lowerRoman"/>
      <w:lvlText w:val="%3."/>
      <w:lvlJc w:val="right"/>
      <w:pPr>
        <w:ind w:left="2160" w:hanging="180"/>
      </w:pPr>
    </w:lvl>
    <w:lvl w:ilvl="3" w:tplc="E5DCA680" w:tentative="1">
      <w:start w:val="1"/>
      <w:numFmt w:val="decimal"/>
      <w:lvlText w:val="%4."/>
      <w:lvlJc w:val="left"/>
      <w:pPr>
        <w:ind w:left="2880" w:hanging="360"/>
      </w:pPr>
    </w:lvl>
    <w:lvl w:ilvl="4" w:tplc="E924AA12" w:tentative="1">
      <w:start w:val="1"/>
      <w:numFmt w:val="lowerLetter"/>
      <w:lvlText w:val="%5."/>
      <w:lvlJc w:val="left"/>
      <w:pPr>
        <w:ind w:left="3600" w:hanging="360"/>
      </w:pPr>
    </w:lvl>
    <w:lvl w:ilvl="5" w:tplc="FBC2D93E" w:tentative="1">
      <w:start w:val="1"/>
      <w:numFmt w:val="lowerRoman"/>
      <w:lvlText w:val="%6."/>
      <w:lvlJc w:val="right"/>
      <w:pPr>
        <w:ind w:left="4320" w:hanging="180"/>
      </w:pPr>
    </w:lvl>
    <w:lvl w:ilvl="6" w:tplc="9B28F738" w:tentative="1">
      <w:start w:val="1"/>
      <w:numFmt w:val="decimal"/>
      <w:lvlText w:val="%7."/>
      <w:lvlJc w:val="left"/>
      <w:pPr>
        <w:ind w:left="5040" w:hanging="360"/>
      </w:pPr>
    </w:lvl>
    <w:lvl w:ilvl="7" w:tplc="D460F5B6" w:tentative="1">
      <w:start w:val="1"/>
      <w:numFmt w:val="lowerLetter"/>
      <w:lvlText w:val="%8."/>
      <w:lvlJc w:val="left"/>
      <w:pPr>
        <w:ind w:left="5760" w:hanging="360"/>
      </w:pPr>
    </w:lvl>
    <w:lvl w:ilvl="8" w:tplc="F0020D08" w:tentative="1">
      <w:start w:val="1"/>
      <w:numFmt w:val="lowerRoman"/>
      <w:lvlText w:val="%9."/>
      <w:lvlJc w:val="right"/>
      <w:pPr>
        <w:ind w:left="6480" w:hanging="180"/>
      </w:pPr>
    </w:lvl>
  </w:abstractNum>
  <w:num w:numId="1" w16cid:durableId="98649096">
    <w:abstractNumId w:val="1"/>
  </w:num>
  <w:num w:numId="2" w16cid:durableId="696004760">
    <w:abstractNumId w:val="0"/>
  </w:num>
  <w:num w:numId="3" w16cid:durableId="848250828">
    <w:abstractNumId w:val="15"/>
  </w:num>
  <w:num w:numId="4" w16cid:durableId="222719820">
    <w:abstractNumId w:val="25"/>
  </w:num>
  <w:num w:numId="5" w16cid:durableId="262303788">
    <w:abstractNumId w:val="17"/>
  </w:num>
  <w:num w:numId="6" w16cid:durableId="1641228673">
    <w:abstractNumId w:val="5"/>
  </w:num>
  <w:num w:numId="7" w16cid:durableId="1486438457">
    <w:abstractNumId w:val="32"/>
  </w:num>
  <w:num w:numId="8" w16cid:durableId="852693341">
    <w:abstractNumId w:val="6"/>
  </w:num>
  <w:num w:numId="9" w16cid:durableId="1392073935">
    <w:abstractNumId w:val="14"/>
  </w:num>
  <w:num w:numId="10" w16cid:durableId="1997340822">
    <w:abstractNumId w:val="7"/>
  </w:num>
  <w:num w:numId="11" w16cid:durableId="437602448">
    <w:abstractNumId w:val="31"/>
  </w:num>
  <w:num w:numId="12" w16cid:durableId="1419061631">
    <w:abstractNumId w:val="16"/>
  </w:num>
  <w:num w:numId="13" w16cid:durableId="1021781990">
    <w:abstractNumId w:val="4"/>
  </w:num>
  <w:num w:numId="14" w16cid:durableId="650520620">
    <w:abstractNumId w:val="12"/>
  </w:num>
  <w:num w:numId="15" w16cid:durableId="20134717">
    <w:abstractNumId w:val="27"/>
  </w:num>
  <w:num w:numId="16" w16cid:durableId="1220170895">
    <w:abstractNumId w:val="10"/>
  </w:num>
  <w:num w:numId="17" w16cid:durableId="661658324">
    <w:abstractNumId w:val="20"/>
  </w:num>
  <w:num w:numId="18" w16cid:durableId="1303735094">
    <w:abstractNumId w:val="28"/>
  </w:num>
  <w:num w:numId="19" w16cid:durableId="1841001653">
    <w:abstractNumId w:val="23"/>
  </w:num>
  <w:num w:numId="20" w16cid:durableId="937104682">
    <w:abstractNumId w:val="13"/>
  </w:num>
  <w:num w:numId="21" w16cid:durableId="1050806261">
    <w:abstractNumId w:val="21"/>
  </w:num>
  <w:num w:numId="22" w16cid:durableId="1216047052">
    <w:abstractNumId w:val="34"/>
  </w:num>
  <w:num w:numId="23" w16cid:durableId="1211845459">
    <w:abstractNumId w:val="24"/>
  </w:num>
  <w:num w:numId="24" w16cid:durableId="1944804439">
    <w:abstractNumId w:val="36"/>
  </w:num>
  <w:num w:numId="25" w16cid:durableId="1164399640">
    <w:abstractNumId w:val="8"/>
  </w:num>
  <w:num w:numId="26" w16cid:durableId="985475534">
    <w:abstractNumId w:val="3"/>
  </w:num>
  <w:num w:numId="27" w16cid:durableId="385954899">
    <w:abstractNumId w:val="33"/>
  </w:num>
  <w:num w:numId="28" w16cid:durableId="624165914">
    <w:abstractNumId w:val="26"/>
  </w:num>
  <w:num w:numId="29" w16cid:durableId="942419582">
    <w:abstractNumId w:val="19"/>
  </w:num>
  <w:num w:numId="30" w16cid:durableId="1138960168">
    <w:abstractNumId w:val="18"/>
  </w:num>
  <w:num w:numId="31" w16cid:durableId="876358088">
    <w:abstractNumId w:val="9"/>
  </w:num>
  <w:num w:numId="32" w16cid:durableId="1583906255">
    <w:abstractNumId w:val="11"/>
  </w:num>
  <w:num w:numId="33" w16cid:durableId="1093284770">
    <w:abstractNumId w:val="35"/>
  </w:num>
  <w:num w:numId="34" w16cid:durableId="1164593590">
    <w:abstractNumId w:val="2"/>
  </w:num>
  <w:num w:numId="35" w16cid:durableId="721099022">
    <w:abstractNumId w:val="22"/>
  </w:num>
  <w:num w:numId="36" w16cid:durableId="1337879911">
    <w:abstractNumId w:val="29"/>
  </w:num>
  <w:num w:numId="37" w16cid:durableId="17966786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C8B"/>
    <w:rsid w:val="000038FB"/>
    <w:rsid w:val="0000533D"/>
    <w:rsid w:val="000069A9"/>
    <w:rsid w:val="00027A64"/>
    <w:rsid w:val="0003198B"/>
    <w:rsid w:val="0003665D"/>
    <w:rsid w:val="00050AB6"/>
    <w:rsid w:val="00051473"/>
    <w:rsid w:val="0005628D"/>
    <w:rsid w:val="00060995"/>
    <w:rsid w:val="00066052"/>
    <w:rsid w:val="00083289"/>
    <w:rsid w:val="00083BAD"/>
    <w:rsid w:val="00086A4C"/>
    <w:rsid w:val="00092D64"/>
    <w:rsid w:val="00094789"/>
    <w:rsid w:val="00094CE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2F5E2A"/>
    <w:rsid w:val="00304149"/>
    <w:rsid w:val="003121D3"/>
    <w:rsid w:val="00315744"/>
    <w:rsid w:val="00316A41"/>
    <w:rsid w:val="003217E6"/>
    <w:rsid w:val="00335956"/>
    <w:rsid w:val="0033622C"/>
    <w:rsid w:val="00342459"/>
    <w:rsid w:val="00351E76"/>
    <w:rsid w:val="00373FE5"/>
    <w:rsid w:val="00380D52"/>
    <w:rsid w:val="003811E6"/>
    <w:rsid w:val="0039460C"/>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35A54"/>
    <w:rsid w:val="004423A3"/>
    <w:rsid w:val="0045285A"/>
    <w:rsid w:val="00452B2A"/>
    <w:rsid w:val="00457B35"/>
    <w:rsid w:val="00462360"/>
    <w:rsid w:val="00465A08"/>
    <w:rsid w:val="004803F6"/>
    <w:rsid w:val="004A031A"/>
    <w:rsid w:val="004B7F3B"/>
    <w:rsid w:val="004C173C"/>
    <w:rsid w:val="004C20EA"/>
    <w:rsid w:val="004C4015"/>
    <w:rsid w:val="004C74B6"/>
    <w:rsid w:val="004D328F"/>
    <w:rsid w:val="004D6568"/>
    <w:rsid w:val="00503322"/>
    <w:rsid w:val="0051409A"/>
    <w:rsid w:val="00514B31"/>
    <w:rsid w:val="00516E14"/>
    <w:rsid w:val="00523940"/>
    <w:rsid w:val="005429B8"/>
    <w:rsid w:val="00550F3B"/>
    <w:rsid w:val="00551480"/>
    <w:rsid w:val="00555663"/>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5407"/>
    <w:rsid w:val="00617D1E"/>
    <w:rsid w:val="00621432"/>
    <w:rsid w:val="00626C9D"/>
    <w:rsid w:val="0063003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057A"/>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2BC0"/>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3EEF"/>
    <w:rsid w:val="007C66C3"/>
    <w:rsid w:val="007D0B87"/>
    <w:rsid w:val="007D1F9D"/>
    <w:rsid w:val="007D47E7"/>
    <w:rsid w:val="00805BB6"/>
    <w:rsid w:val="008077EE"/>
    <w:rsid w:val="00807BB1"/>
    <w:rsid w:val="00822064"/>
    <w:rsid w:val="008315F8"/>
    <w:rsid w:val="00835660"/>
    <w:rsid w:val="0084069F"/>
    <w:rsid w:val="00840B24"/>
    <w:rsid w:val="00844B36"/>
    <w:rsid w:val="0085485F"/>
    <w:rsid w:val="008637F2"/>
    <w:rsid w:val="00867A6F"/>
    <w:rsid w:val="008705CB"/>
    <w:rsid w:val="00872C04"/>
    <w:rsid w:val="0087401F"/>
    <w:rsid w:val="008829AB"/>
    <w:rsid w:val="008874D2"/>
    <w:rsid w:val="00890276"/>
    <w:rsid w:val="00890A1F"/>
    <w:rsid w:val="00895860"/>
    <w:rsid w:val="008A0D1F"/>
    <w:rsid w:val="008A405B"/>
    <w:rsid w:val="008B0B8A"/>
    <w:rsid w:val="008D6C4B"/>
    <w:rsid w:val="008E7D98"/>
    <w:rsid w:val="008E7D9B"/>
    <w:rsid w:val="008F5560"/>
    <w:rsid w:val="009174AF"/>
    <w:rsid w:val="00921FDE"/>
    <w:rsid w:val="009226D8"/>
    <w:rsid w:val="00922D61"/>
    <w:rsid w:val="009279FD"/>
    <w:rsid w:val="00936574"/>
    <w:rsid w:val="009510CD"/>
    <w:rsid w:val="00964E49"/>
    <w:rsid w:val="00964F8C"/>
    <w:rsid w:val="00971AF1"/>
    <w:rsid w:val="00986B62"/>
    <w:rsid w:val="0099724C"/>
    <w:rsid w:val="009A2A78"/>
    <w:rsid w:val="009A4D73"/>
    <w:rsid w:val="009B5790"/>
    <w:rsid w:val="009C0017"/>
    <w:rsid w:val="009C2A6A"/>
    <w:rsid w:val="009C5018"/>
    <w:rsid w:val="009D34B6"/>
    <w:rsid w:val="009E0E0A"/>
    <w:rsid w:val="009E5ABD"/>
    <w:rsid w:val="009E75B1"/>
    <w:rsid w:val="009F0DEE"/>
    <w:rsid w:val="00A0145C"/>
    <w:rsid w:val="00A2194C"/>
    <w:rsid w:val="00A25733"/>
    <w:rsid w:val="00A2684B"/>
    <w:rsid w:val="00A41D37"/>
    <w:rsid w:val="00A44F17"/>
    <w:rsid w:val="00A52209"/>
    <w:rsid w:val="00A5585D"/>
    <w:rsid w:val="00A6312E"/>
    <w:rsid w:val="00A771CE"/>
    <w:rsid w:val="00A93EFE"/>
    <w:rsid w:val="00AA0919"/>
    <w:rsid w:val="00AA5480"/>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74B0"/>
    <w:rsid w:val="00BA3F99"/>
    <w:rsid w:val="00BA7B99"/>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24A1E"/>
    <w:rsid w:val="00C339A4"/>
    <w:rsid w:val="00C41EBB"/>
    <w:rsid w:val="00C4256B"/>
    <w:rsid w:val="00C42A03"/>
    <w:rsid w:val="00C475B6"/>
    <w:rsid w:val="00C7075A"/>
    <w:rsid w:val="00C71AAC"/>
    <w:rsid w:val="00C864C3"/>
    <w:rsid w:val="00C979BC"/>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14E"/>
    <w:rsid w:val="00D06A99"/>
    <w:rsid w:val="00D127A3"/>
    <w:rsid w:val="00D13EC4"/>
    <w:rsid w:val="00D17C88"/>
    <w:rsid w:val="00D222F2"/>
    <w:rsid w:val="00D22416"/>
    <w:rsid w:val="00D2400F"/>
    <w:rsid w:val="00D26D4A"/>
    <w:rsid w:val="00D2763B"/>
    <w:rsid w:val="00D31690"/>
    <w:rsid w:val="00D330D2"/>
    <w:rsid w:val="00D41554"/>
    <w:rsid w:val="00D41ABA"/>
    <w:rsid w:val="00D43C33"/>
    <w:rsid w:val="00D66564"/>
    <w:rsid w:val="00D6785E"/>
    <w:rsid w:val="00D71636"/>
    <w:rsid w:val="00D74061"/>
    <w:rsid w:val="00D76607"/>
    <w:rsid w:val="00D7747A"/>
    <w:rsid w:val="00D96075"/>
    <w:rsid w:val="00D97919"/>
    <w:rsid w:val="00DA6D1D"/>
    <w:rsid w:val="00DA783E"/>
    <w:rsid w:val="00DB3449"/>
    <w:rsid w:val="00DB3AE0"/>
    <w:rsid w:val="00DC0B97"/>
    <w:rsid w:val="00DC1529"/>
    <w:rsid w:val="00DC51B5"/>
    <w:rsid w:val="00DC5B2F"/>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8664E"/>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659F2"/>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BodyText"/>
    <w:link w:val="Heading1Char"/>
    <w:uiPriority w:val="9"/>
    <w:qFormat/>
    <w:rsid w:val="00822064"/>
    <w:pPr>
      <w:keepNext/>
      <w:keepLines/>
      <w:widowControl/>
      <w:numPr>
        <w:numId w:val="3"/>
      </w:numPr>
      <w:tabs>
        <w:tab w:val="clear" w:pos="720"/>
      </w:tabs>
      <w:autoSpaceDE/>
      <w:autoSpaceDN/>
      <w:adjustRightInd/>
      <w:spacing w:after="240"/>
      <w:ind w:left="0" w:firstLine="0"/>
      <w:outlineLvl w:val="0"/>
    </w:pPr>
    <w:rPr>
      <w:b/>
      <w:bCs/>
      <w:caps/>
      <w:sz w:val="24"/>
      <w:szCs w:val="28"/>
      <w:u w:val="single"/>
    </w:rPr>
  </w:style>
  <w:style w:type="paragraph" w:styleId="Heading2">
    <w:name w:val="heading 2"/>
    <w:basedOn w:val="Normal"/>
    <w:next w:val="BodyText"/>
    <w:link w:val="Heading2Char"/>
    <w:uiPriority w:val="9"/>
    <w:qFormat/>
    <w:rsid w:val="00822064"/>
    <w:pPr>
      <w:widowControl/>
      <w:numPr>
        <w:ilvl w:val="1"/>
        <w:numId w:val="3"/>
      </w:numPr>
      <w:autoSpaceDE/>
      <w:autoSpaceDN/>
      <w:adjustRightInd/>
      <w:spacing w:after="240"/>
      <w:ind w:left="0" w:firstLine="0"/>
      <w:outlineLvl w:val="1"/>
    </w:pPr>
    <w:rPr>
      <w:b/>
      <w:bCs/>
      <w:sz w:val="24"/>
      <w:szCs w:val="26"/>
      <w:u w:val="single"/>
    </w:rPr>
  </w:style>
  <w:style w:type="paragraph" w:styleId="Heading3">
    <w:name w:val="heading 3"/>
    <w:basedOn w:val="Normal"/>
    <w:next w:val="BodyText"/>
    <w:link w:val="Heading3Char"/>
    <w:uiPriority w:val="9"/>
    <w:qFormat/>
    <w:rsid w:val="00822064"/>
    <w:pPr>
      <w:widowControl/>
      <w:numPr>
        <w:ilvl w:val="2"/>
        <w:numId w:val="3"/>
      </w:numPr>
      <w:autoSpaceDE/>
      <w:autoSpaceDN/>
      <w:adjustRightInd/>
      <w:spacing w:after="240"/>
      <w:ind w:left="0" w:firstLine="0"/>
      <w:outlineLvl w:val="2"/>
    </w:pPr>
    <w:rPr>
      <w:bCs/>
      <w:sz w:val="24"/>
    </w:rPr>
  </w:style>
  <w:style w:type="paragraph" w:styleId="Heading4">
    <w:name w:val="heading 4"/>
    <w:basedOn w:val="Normal"/>
    <w:next w:val="BodyText"/>
    <w:link w:val="Heading4Char"/>
    <w:uiPriority w:val="9"/>
    <w:qFormat/>
    <w:rsid w:val="00822064"/>
    <w:pPr>
      <w:widowControl/>
      <w:numPr>
        <w:ilvl w:val="3"/>
        <w:numId w:val="3"/>
      </w:numPr>
      <w:autoSpaceDE/>
      <w:autoSpaceDN/>
      <w:adjustRightInd/>
      <w:spacing w:after="240"/>
      <w:ind w:left="0" w:firstLine="0"/>
      <w:outlineLvl w:val="3"/>
    </w:pPr>
    <w:rPr>
      <w:bCs/>
      <w:iCs/>
      <w:sz w:val="24"/>
    </w:rPr>
  </w:style>
  <w:style w:type="paragraph" w:styleId="Heading5">
    <w:name w:val="heading 5"/>
    <w:basedOn w:val="Normal"/>
    <w:next w:val="BodyText"/>
    <w:link w:val="Heading5Char"/>
    <w:uiPriority w:val="9"/>
    <w:qFormat/>
    <w:rsid w:val="00822064"/>
    <w:pPr>
      <w:widowControl/>
      <w:numPr>
        <w:ilvl w:val="4"/>
        <w:numId w:val="3"/>
      </w:numPr>
      <w:autoSpaceDE/>
      <w:autoSpaceDN/>
      <w:adjustRightInd/>
      <w:spacing w:after="240"/>
      <w:ind w:left="0" w:firstLine="0"/>
      <w:outlineLvl w:val="4"/>
    </w:pPr>
    <w:rPr>
      <w:sz w:val="24"/>
    </w:rPr>
  </w:style>
  <w:style w:type="paragraph" w:styleId="Heading6">
    <w:name w:val="heading 6"/>
    <w:basedOn w:val="Normal"/>
    <w:next w:val="BodyText"/>
    <w:link w:val="Heading6Char"/>
    <w:uiPriority w:val="9"/>
    <w:rsid w:val="00822064"/>
    <w:pPr>
      <w:widowControl/>
      <w:numPr>
        <w:ilvl w:val="5"/>
        <w:numId w:val="3"/>
      </w:numPr>
      <w:autoSpaceDE/>
      <w:autoSpaceDN/>
      <w:adjustRightInd/>
      <w:spacing w:after="240"/>
      <w:ind w:left="0" w:firstLine="0"/>
      <w:outlineLvl w:val="5"/>
    </w:pPr>
    <w:rPr>
      <w:iCs/>
      <w:sz w:val="24"/>
    </w:rPr>
  </w:style>
  <w:style w:type="paragraph" w:styleId="Heading7">
    <w:name w:val="heading 7"/>
    <w:basedOn w:val="Normal"/>
    <w:next w:val="BodyText"/>
    <w:link w:val="Heading7Char"/>
    <w:uiPriority w:val="9"/>
    <w:rsid w:val="00822064"/>
    <w:pPr>
      <w:widowControl/>
      <w:numPr>
        <w:ilvl w:val="6"/>
        <w:numId w:val="3"/>
      </w:numPr>
      <w:autoSpaceDE/>
      <w:autoSpaceDN/>
      <w:adjustRightInd/>
      <w:spacing w:after="240"/>
      <w:ind w:left="0" w:firstLine="0"/>
      <w:outlineLvl w:val="6"/>
    </w:pPr>
    <w:rPr>
      <w:iCs/>
      <w:sz w:val="24"/>
    </w:rPr>
  </w:style>
  <w:style w:type="paragraph" w:styleId="Heading8">
    <w:name w:val="heading 8"/>
    <w:basedOn w:val="Normal"/>
    <w:next w:val="BodyText"/>
    <w:link w:val="Heading8Char"/>
    <w:uiPriority w:val="9"/>
    <w:rsid w:val="00822064"/>
    <w:pPr>
      <w:widowControl/>
      <w:numPr>
        <w:ilvl w:val="7"/>
        <w:numId w:val="3"/>
      </w:numPr>
      <w:autoSpaceDE/>
      <w:autoSpaceDN/>
      <w:adjustRightInd/>
      <w:spacing w:after="240"/>
      <w:ind w:left="0" w:firstLine="0"/>
      <w:outlineLvl w:val="7"/>
    </w:pPr>
    <w:rPr>
      <w:sz w:val="24"/>
      <w:szCs w:val="20"/>
    </w:rPr>
  </w:style>
  <w:style w:type="paragraph" w:styleId="Heading9">
    <w:name w:val="heading 9"/>
    <w:basedOn w:val="Normal"/>
    <w:next w:val="BodyText"/>
    <w:link w:val="Heading9Char"/>
    <w:uiPriority w:val="9"/>
    <w:rsid w:val="00822064"/>
    <w:pPr>
      <w:widowControl/>
      <w:numPr>
        <w:ilvl w:val="8"/>
        <w:numId w:val="3"/>
      </w:numPr>
      <w:autoSpaceDE/>
      <w:autoSpaceDN/>
      <w:adjustRightInd/>
      <w:spacing w:after="240"/>
      <w:ind w:left="0" w:firstLine="0"/>
      <w:outlineLvl w:val="8"/>
    </w:pPr>
    <w:rPr>
      <w:i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uiPriority w:val="99"/>
    <w:rsid w:val="00550F3B"/>
    <w:rPr>
      <w:color w:val="0000FF"/>
      <w:u w:val="single"/>
    </w:rPr>
  </w:style>
  <w:style w:type="paragraph" w:styleId="Header">
    <w:name w:val="header"/>
    <w:basedOn w:val="Normal"/>
    <w:link w:val="HeaderChar"/>
    <w:unhideWhenUsed/>
    <w:rsid w:val="00C17968"/>
    <w:pPr>
      <w:tabs>
        <w:tab w:val="center" w:pos="4680"/>
        <w:tab w:val="right" w:pos="9360"/>
      </w:tabs>
    </w:pPr>
  </w:style>
  <w:style w:type="character" w:customStyle="1" w:styleId="HeaderChar">
    <w:name w:val="Header Char"/>
    <w:basedOn w:val="DefaultParagraphFont"/>
    <w:link w:val="Header"/>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9E0E0A"/>
    <w:rPr>
      <w:color w:val="605E5C"/>
      <w:shd w:val="clear" w:color="auto" w:fill="E1DFDD"/>
    </w:rPr>
  </w:style>
  <w:style w:type="character" w:customStyle="1" w:styleId="Heading1Char">
    <w:name w:val="Heading 1 Char"/>
    <w:basedOn w:val="DefaultParagraphFont"/>
    <w:link w:val="Heading1"/>
    <w:uiPriority w:val="9"/>
    <w:rsid w:val="00822064"/>
    <w:rPr>
      <w:rFonts w:ascii="Times New Roman" w:eastAsia="Times New Roman" w:hAnsi="Times New Roman" w:cs="Times New Roman"/>
      <w:b/>
      <w:bCs/>
      <w:caps/>
      <w:sz w:val="24"/>
      <w:szCs w:val="28"/>
      <w:u w:val="single"/>
    </w:rPr>
  </w:style>
  <w:style w:type="character" w:customStyle="1" w:styleId="Heading2Char">
    <w:name w:val="Heading 2 Char"/>
    <w:basedOn w:val="DefaultParagraphFont"/>
    <w:link w:val="Heading2"/>
    <w:uiPriority w:val="9"/>
    <w:rsid w:val="00822064"/>
    <w:rPr>
      <w:rFonts w:ascii="Times New Roman" w:eastAsia="Times New Roman" w:hAnsi="Times New Roman" w:cs="Times New Roman"/>
      <w:b/>
      <w:bCs/>
      <w:sz w:val="24"/>
      <w:szCs w:val="26"/>
      <w:u w:val="single"/>
    </w:rPr>
  </w:style>
  <w:style w:type="character" w:customStyle="1" w:styleId="Heading3Char">
    <w:name w:val="Heading 3 Char"/>
    <w:basedOn w:val="DefaultParagraphFont"/>
    <w:link w:val="Heading3"/>
    <w:uiPriority w:val="9"/>
    <w:rsid w:val="00822064"/>
    <w:rPr>
      <w:rFonts w:ascii="Times New Roman" w:eastAsia="Times New Roman" w:hAnsi="Times New Roman" w:cs="Times New Roman"/>
      <w:bCs/>
      <w:sz w:val="24"/>
      <w:szCs w:val="24"/>
    </w:rPr>
  </w:style>
  <w:style w:type="character" w:customStyle="1" w:styleId="Heading4Char">
    <w:name w:val="Heading 4 Char"/>
    <w:basedOn w:val="DefaultParagraphFont"/>
    <w:link w:val="Heading4"/>
    <w:uiPriority w:val="9"/>
    <w:rsid w:val="00822064"/>
    <w:rPr>
      <w:rFonts w:ascii="Times New Roman" w:eastAsia="Times New Roman" w:hAnsi="Times New Roman" w:cs="Times New Roman"/>
      <w:bCs/>
      <w:iCs/>
      <w:sz w:val="24"/>
      <w:szCs w:val="24"/>
    </w:rPr>
  </w:style>
  <w:style w:type="character" w:customStyle="1" w:styleId="Heading5Char">
    <w:name w:val="Heading 5 Char"/>
    <w:basedOn w:val="DefaultParagraphFont"/>
    <w:link w:val="Heading5"/>
    <w:uiPriority w:val="9"/>
    <w:rsid w:val="0082206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822064"/>
    <w:rPr>
      <w:rFonts w:ascii="Times New Roman" w:eastAsia="Times New Roman" w:hAnsi="Times New Roman" w:cs="Times New Roman"/>
      <w:iCs/>
      <w:sz w:val="24"/>
      <w:szCs w:val="24"/>
    </w:rPr>
  </w:style>
  <w:style w:type="character" w:customStyle="1" w:styleId="Heading7Char">
    <w:name w:val="Heading 7 Char"/>
    <w:basedOn w:val="DefaultParagraphFont"/>
    <w:link w:val="Heading7"/>
    <w:uiPriority w:val="9"/>
    <w:rsid w:val="00822064"/>
    <w:rPr>
      <w:rFonts w:ascii="Times New Roman" w:eastAsia="Times New Roman" w:hAnsi="Times New Roman" w:cs="Times New Roman"/>
      <w:iCs/>
      <w:sz w:val="24"/>
      <w:szCs w:val="24"/>
    </w:rPr>
  </w:style>
  <w:style w:type="character" w:customStyle="1" w:styleId="Heading8Char">
    <w:name w:val="Heading 8 Char"/>
    <w:basedOn w:val="DefaultParagraphFont"/>
    <w:link w:val="Heading8"/>
    <w:uiPriority w:val="9"/>
    <w:rsid w:val="00822064"/>
    <w:rPr>
      <w:rFonts w:ascii="Times New Roman" w:eastAsia="Times New Roman" w:hAnsi="Times New Roman" w:cs="Times New Roman"/>
      <w:sz w:val="24"/>
      <w:szCs w:val="20"/>
    </w:rPr>
  </w:style>
  <w:style w:type="character" w:customStyle="1" w:styleId="Heading9Char">
    <w:name w:val="Heading 9 Char"/>
    <w:basedOn w:val="DefaultParagraphFont"/>
    <w:link w:val="Heading9"/>
    <w:uiPriority w:val="9"/>
    <w:rsid w:val="00822064"/>
    <w:rPr>
      <w:rFonts w:ascii="Times New Roman" w:eastAsia="Times New Roman" w:hAnsi="Times New Roman" w:cs="Times New Roman"/>
      <w:iCs/>
      <w:sz w:val="24"/>
      <w:szCs w:val="20"/>
    </w:rPr>
  </w:style>
  <w:style w:type="paragraph" w:styleId="Title">
    <w:name w:val="Title"/>
    <w:basedOn w:val="TitleRoot"/>
    <w:next w:val="BodyText"/>
    <w:link w:val="TitleChar"/>
    <w:qFormat/>
    <w:rsid w:val="00822064"/>
    <w:rPr>
      <w:rFonts w:eastAsia="Times New Roman" w:cs="Times New Roman"/>
      <w:szCs w:val="52"/>
    </w:rPr>
  </w:style>
  <w:style w:type="character" w:customStyle="1" w:styleId="TitleChar">
    <w:name w:val="Title Char"/>
    <w:basedOn w:val="DefaultParagraphFont"/>
    <w:link w:val="Title"/>
    <w:rsid w:val="00822064"/>
    <w:rPr>
      <w:rFonts w:ascii="Times New Roman" w:eastAsia="Times New Roman" w:hAnsi="Times New Roman" w:cs="Times New Roman"/>
      <w:b/>
      <w:sz w:val="24"/>
      <w:szCs w:val="52"/>
    </w:rPr>
  </w:style>
  <w:style w:type="paragraph" w:styleId="Subtitle">
    <w:name w:val="Subtitle"/>
    <w:basedOn w:val="Normal"/>
    <w:next w:val="BodyText"/>
    <w:link w:val="SubtitleChar"/>
    <w:uiPriority w:val="9"/>
    <w:qFormat/>
    <w:rsid w:val="00822064"/>
    <w:pPr>
      <w:keepNext/>
      <w:keepLines/>
      <w:widowControl/>
      <w:numPr>
        <w:ilvl w:val="1"/>
      </w:numPr>
      <w:autoSpaceDE/>
      <w:autoSpaceDN/>
      <w:adjustRightInd/>
      <w:spacing w:after="240"/>
      <w:jc w:val="center"/>
    </w:pPr>
    <w:rPr>
      <w:iCs/>
      <w:sz w:val="24"/>
    </w:rPr>
  </w:style>
  <w:style w:type="character" w:customStyle="1" w:styleId="SubtitleChar">
    <w:name w:val="Subtitle Char"/>
    <w:basedOn w:val="DefaultParagraphFont"/>
    <w:link w:val="Subtitle"/>
    <w:uiPriority w:val="9"/>
    <w:rsid w:val="00822064"/>
    <w:rPr>
      <w:rFonts w:ascii="Times New Roman" w:eastAsia="Times New Roman" w:hAnsi="Times New Roman" w:cs="Times New Roman"/>
      <w:iCs/>
      <w:sz w:val="24"/>
      <w:szCs w:val="24"/>
    </w:rPr>
  </w:style>
  <w:style w:type="paragraph" w:styleId="Quote">
    <w:name w:val="Quote"/>
    <w:basedOn w:val="Normal"/>
    <w:link w:val="QuoteChar"/>
    <w:uiPriority w:val="29"/>
    <w:rsid w:val="00822064"/>
    <w:pPr>
      <w:widowControl/>
      <w:autoSpaceDE/>
      <w:autoSpaceDN/>
      <w:adjustRightInd/>
      <w:spacing w:after="240"/>
      <w:ind w:left="720" w:right="720"/>
    </w:pPr>
    <w:rPr>
      <w:rFonts w:eastAsiaTheme="minorEastAsia" w:cstheme="minorBidi"/>
      <w:iCs/>
      <w:sz w:val="24"/>
    </w:rPr>
  </w:style>
  <w:style w:type="character" w:customStyle="1" w:styleId="QuoteChar">
    <w:name w:val="Quote Char"/>
    <w:basedOn w:val="DefaultParagraphFont"/>
    <w:link w:val="Quote"/>
    <w:uiPriority w:val="29"/>
    <w:rsid w:val="00822064"/>
    <w:rPr>
      <w:rFonts w:ascii="Times New Roman" w:eastAsiaTheme="minorEastAsia" w:hAnsi="Times New Roman"/>
      <w:iCs/>
      <w:sz w:val="24"/>
      <w:szCs w:val="24"/>
    </w:rPr>
  </w:style>
  <w:style w:type="character" w:styleId="IntenseEmphasis">
    <w:name w:val="Intense Emphasis"/>
    <w:basedOn w:val="DefaultParagraphFont"/>
    <w:uiPriority w:val="21"/>
    <w:rsid w:val="00822064"/>
    <w:rPr>
      <w:rFonts w:ascii="Times New Roman" w:hAnsi="Times New Roman"/>
      <w:b/>
      <w:bCs/>
      <w:i/>
      <w:iCs/>
      <w:color w:val="auto"/>
    </w:rPr>
  </w:style>
  <w:style w:type="paragraph" w:styleId="IntenseQuote">
    <w:name w:val="Intense Quote"/>
    <w:basedOn w:val="Normal"/>
    <w:link w:val="IntenseQuoteChar"/>
    <w:uiPriority w:val="30"/>
    <w:rsid w:val="00822064"/>
    <w:pPr>
      <w:widowControl/>
      <w:pBdr>
        <w:bottom w:val="single" w:sz="4" w:space="4" w:color="auto"/>
      </w:pBdr>
      <w:autoSpaceDE/>
      <w:autoSpaceDN/>
      <w:adjustRightInd/>
      <w:spacing w:before="200" w:after="280"/>
      <w:ind w:left="936" w:right="936"/>
    </w:pPr>
    <w:rPr>
      <w:rFonts w:eastAsiaTheme="minorEastAsia" w:cstheme="minorBidi"/>
      <w:b/>
      <w:bCs/>
      <w:i/>
      <w:iCs/>
      <w:sz w:val="24"/>
    </w:rPr>
  </w:style>
  <w:style w:type="character" w:customStyle="1" w:styleId="IntenseQuoteChar">
    <w:name w:val="Intense Quote Char"/>
    <w:basedOn w:val="DefaultParagraphFont"/>
    <w:link w:val="IntenseQuote"/>
    <w:uiPriority w:val="30"/>
    <w:rsid w:val="00822064"/>
    <w:rPr>
      <w:rFonts w:ascii="Times New Roman" w:eastAsiaTheme="minorEastAsia" w:hAnsi="Times New Roman"/>
      <w:b/>
      <w:bCs/>
      <w:i/>
      <w:iCs/>
      <w:sz w:val="24"/>
      <w:szCs w:val="24"/>
    </w:rPr>
  </w:style>
  <w:style w:type="character" w:styleId="IntenseReference">
    <w:name w:val="Intense Reference"/>
    <w:basedOn w:val="DefaultParagraphFont"/>
    <w:uiPriority w:val="32"/>
    <w:rsid w:val="00822064"/>
    <w:rPr>
      <w:b/>
      <w:bCs/>
      <w:smallCaps/>
      <w:color w:val="auto"/>
      <w:spacing w:val="5"/>
      <w:u w:val="single"/>
      <w:bdr w:val="none" w:sz="0" w:space="0" w:color="auto"/>
    </w:rPr>
  </w:style>
  <w:style w:type="paragraph" w:styleId="BodyText">
    <w:name w:val="Body Text"/>
    <w:basedOn w:val="Normal"/>
    <w:link w:val="BodyTextChar"/>
    <w:qFormat/>
    <w:rsid w:val="00822064"/>
    <w:pPr>
      <w:widowControl/>
      <w:autoSpaceDE/>
      <w:autoSpaceDN/>
      <w:adjustRightInd/>
      <w:spacing w:after="240"/>
    </w:pPr>
    <w:rPr>
      <w:rFonts w:eastAsiaTheme="minorEastAsia" w:cstheme="minorBidi"/>
      <w:sz w:val="24"/>
    </w:rPr>
  </w:style>
  <w:style w:type="character" w:customStyle="1" w:styleId="BodyTextChar">
    <w:name w:val="Body Text Char"/>
    <w:basedOn w:val="DefaultParagraphFont"/>
    <w:link w:val="BodyText"/>
    <w:rsid w:val="00822064"/>
    <w:rPr>
      <w:rFonts w:ascii="Times New Roman" w:eastAsiaTheme="minorEastAsia" w:hAnsi="Times New Roman"/>
      <w:sz w:val="24"/>
      <w:szCs w:val="24"/>
    </w:rPr>
  </w:style>
  <w:style w:type="paragraph" w:customStyle="1" w:styleId="TitleCover">
    <w:name w:val="Title Cover"/>
    <w:basedOn w:val="TitleRoot"/>
    <w:next w:val="BodyText"/>
    <w:qFormat/>
    <w:rsid w:val="00822064"/>
  </w:style>
  <w:style w:type="character" w:styleId="BookTitle">
    <w:name w:val="Book Title"/>
    <w:basedOn w:val="DefaultParagraphFont"/>
    <w:uiPriority w:val="33"/>
    <w:rsid w:val="00822064"/>
    <w:rPr>
      <w:rFonts w:ascii="Times New Roman" w:hAnsi="Times New Roman"/>
      <w:b/>
      <w:bCs/>
      <w:smallCaps/>
      <w:spacing w:val="5"/>
    </w:rPr>
  </w:style>
  <w:style w:type="paragraph" w:styleId="Caption">
    <w:name w:val="caption"/>
    <w:basedOn w:val="Normal"/>
    <w:uiPriority w:val="35"/>
    <w:unhideWhenUsed/>
    <w:rsid w:val="00822064"/>
    <w:pPr>
      <w:widowControl/>
      <w:autoSpaceDE/>
      <w:autoSpaceDN/>
      <w:adjustRightInd/>
      <w:spacing w:after="240"/>
    </w:pPr>
    <w:rPr>
      <w:rFonts w:eastAsiaTheme="minorEastAsia" w:cstheme="minorBidi"/>
      <w:b/>
      <w:bCs/>
      <w:sz w:val="24"/>
      <w:szCs w:val="18"/>
    </w:rPr>
  </w:style>
  <w:style w:type="paragraph" w:styleId="TOCHeading">
    <w:name w:val="TOC Heading"/>
    <w:basedOn w:val="Heading1"/>
    <w:next w:val="Normal"/>
    <w:uiPriority w:val="39"/>
    <w:semiHidden/>
    <w:rsid w:val="00822064"/>
    <w:pPr>
      <w:numPr>
        <w:numId w:val="0"/>
      </w:numPr>
      <w:spacing w:after="480"/>
      <w:outlineLvl w:val="9"/>
    </w:pPr>
  </w:style>
  <w:style w:type="paragraph" w:styleId="BlockText">
    <w:name w:val="Block Text"/>
    <w:basedOn w:val="Normal"/>
    <w:link w:val="BlockTextChar"/>
    <w:rsid w:val="00822064"/>
    <w:pPr>
      <w:widowControl/>
      <w:autoSpaceDE/>
      <w:autoSpaceDN/>
      <w:adjustRightInd/>
      <w:spacing w:after="240"/>
      <w:ind w:left="1440" w:right="1440"/>
      <w:jc w:val="both"/>
    </w:pPr>
    <w:rPr>
      <w:rFonts w:eastAsiaTheme="minorEastAsia" w:cstheme="minorBidi"/>
      <w:iCs/>
      <w:sz w:val="24"/>
    </w:rPr>
  </w:style>
  <w:style w:type="paragraph" w:styleId="BodyText2">
    <w:name w:val="Body Text 2"/>
    <w:basedOn w:val="Normal"/>
    <w:link w:val="BodyText2Char"/>
    <w:rsid w:val="00822064"/>
    <w:pPr>
      <w:widowControl/>
      <w:autoSpaceDE/>
      <w:autoSpaceDN/>
      <w:adjustRightInd/>
      <w:spacing w:after="240"/>
      <w:ind w:left="720" w:firstLine="720"/>
    </w:pPr>
    <w:rPr>
      <w:rFonts w:eastAsiaTheme="minorEastAsia" w:cstheme="minorBidi"/>
      <w:sz w:val="24"/>
    </w:rPr>
  </w:style>
  <w:style w:type="character" w:customStyle="1" w:styleId="BodyText2Char">
    <w:name w:val="Body Text 2 Char"/>
    <w:basedOn w:val="DefaultParagraphFont"/>
    <w:link w:val="BodyText2"/>
    <w:rsid w:val="00822064"/>
    <w:rPr>
      <w:rFonts w:ascii="Times New Roman" w:eastAsiaTheme="minorEastAsia" w:hAnsi="Times New Roman"/>
      <w:sz w:val="24"/>
      <w:szCs w:val="24"/>
    </w:rPr>
  </w:style>
  <w:style w:type="paragraph" w:styleId="BodyText3">
    <w:name w:val="Body Text 3"/>
    <w:basedOn w:val="Normal"/>
    <w:link w:val="BodyText3Char"/>
    <w:rsid w:val="00822064"/>
    <w:pPr>
      <w:widowControl/>
      <w:autoSpaceDE/>
      <w:autoSpaceDN/>
      <w:adjustRightInd/>
      <w:spacing w:after="240"/>
      <w:ind w:left="1440" w:firstLine="720"/>
    </w:pPr>
    <w:rPr>
      <w:rFonts w:eastAsiaTheme="minorEastAsia" w:cstheme="minorBidi"/>
      <w:sz w:val="24"/>
      <w:szCs w:val="16"/>
    </w:rPr>
  </w:style>
  <w:style w:type="character" w:customStyle="1" w:styleId="BodyText3Char">
    <w:name w:val="Body Text 3 Char"/>
    <w:basedOn w:val="DefaultParagraphFont"/>
    <w:link w:val="BodyText3"/>
    <w:rsid w:val="00822064"/>
    <w:rPr>
      <w:rFonts w:ascii="Times New Roman" w:eastAsiaTheme="minorEastAsia" w:hAnsi="Times New Roman"/>
      <w:sz w:val="24"/>
      <w:szCs w:val="16"/>
    </w:rPr>
  </w:style>
  <w:style w:type="paragraph" w:styleId="BodyTextFirstIndent">
    <w:name w:val="Body Text First Indent"/>
    <w:basedOn w:val="Normal"/>
    <w:link w:val="BodyTextFirstIndentChar"/>
    <w:rsid w:val="00822064"/>
    <w:pPr>
      <w:widowControl/>
      <w:autoSpaceDE/>
      <w:autoSpaceDN/>
      <w:adjustRightInd/>
      <w:spacing w:after="240"/>
      <w:ind w:firstLine="1440"/>
    </w:pPr>
    <w:rPr>
      <w:rFonts w:eastAsiaTheme="minorEastAsia" w:cstheme="minorBidi"/>
      <w:sz w:val="24"/>
    </w:rPr>
  </w:style>
  <w:style w:type="character" w:customStyle="1" w:styleId="BodyTextFirstIndentChar">
    <w:name w:val="Body Text First Indent Char"/>
    <w:basedOn w:val="BodyTextChar"/>
    <w:link w:val="BodyTextFirstIndent"/>
    <w:rsid w:val="00822064"/>
    <w:rPr>
      <w:rFonts w:ascii="Times New Roman" w:eastAsiaTheme="minorEastAsia" w:hAnsi="Times New Roman"/>
      <w:sz w:val="24"/>
      <w:szCs w:val="24"/>
    </w:rPr>
  </w:style>
  <w:style w:type="paragraph" w:styleId="BodyTextIndent">
    <w:name w:val="Body Text Indent"/>
    <w:basedOn w:val="Normal"/>
    <w:link w:val="BodyTextIndentChar"/>
    <w:rsid w:val="00822064"/>
    <w:pPr>
      <w:widowControl/>
      <w:autoSpaceDE/>
      <w:autoSpaceDN/>
      <w:adjustRightInd/>
      <w:spacing w:after="240"/>
      <w:ind w:left="720"/>
    </w:pPr>
    <w:rPr>
      <w:rFonts w:eastAsiaTheme="minorEastAsia" w:cstheme="minorBidi"/>
      <w:sz w:val="24"/>
    </w:rPr>
  </w:style>
  <w:style w:type="character" w:customStyle="1" w:styleId="BodyTextIndentChar">
    <w:name w:val="Body Text Indent Char"/>
    <w:basedOn w:val="DefaultParagraphFont"/>
    <w:link w:val="BodyTextIndent"/>
    <w:rsid w:val="00822064"/>
    <w:rPr>
      <w:rFonts w:ascii="Times New Roman" w:eastAsiaTheme="minorEastAsia" w:hAnsi="Times New Roman"/>
      <w:sz w:val="24"/>
      <w:szCs w:val="24"/>
    </w:rPr>
  </w:style>
  <w:style w:type="paragraph" w:styleId="BodyTextFirstIndent2">
    <w:name w:val="Body Text First Indent 2"/>
    <w:basedOn w:val="Normal"/>
    <w:link w:val="BodyTextFirstIndent2Char"/>
    <w:rsid w:val="00822064"/>
    <w:pPr>
      <w:widowControl/>
      <w:autoSpaceDE/>
      <w:autoSpaceDN/>
      <w:adjustRightInd/>
      <w:spacing w:after="240"/>
      <w:ind w:firstLine="2160"/>
    </w:pPr>
    <w:rPr>
      <w:rFonts w:eastAsiaTheme="minorEastAsia" w:cstheme="minorBidi"/>
      <w:sz w:val="24"/>
    </w:rPr>
  </w:style>
  <w:style w:type="character" w:customStyle="1" w:styleId="BodyTextFirstIndent2Char">
    <w:name w:val="Body Text First Indent 2 Char"/>
    <w:basedOn w:val="BodyTextIndentChar"/>
    <w:link w:val="BodyTextFirstIndent2"/>
    <w:rsid w:val="00822064"/>
    <w:rPr>
      <w:rFonts w:ascii="Times New Roman" w:eastAsiaTheme="minorEastAsia" w:hAnsi="Times New Roman"/>
      <w:sz w:val="24"/>
      <w:szCs w:val="24"/>
    </w:rPr>
  </w:style>
  <w:style w:type="paragraph" w:styleId="BodyTextIndent3">
    <w:name w:val="Body Text Indent 3"/>
    <w:basedOn w:val="Normal"/>
    <w:link w:val="BodyTextIndent3Char"/>
    <w:rsid w:val="00822064"/>
    <w:pPr>
      <w:widowControl/>
      <w:autoSpaceDE/>
      <w:autoSpaceDN/>
      <w:adjustRightInd/>
      <w:spacing w:after="240"/>
      <w:ind w:left="2160"/>
    </w:pPr>
    <w:rPr>
      <w:rFonts w:eastAsiaTheme="minorEastAsia" w:cstheme="minorBidi"/>
      <w:sz w:val="24"/>
      <w:szCs w:val="16"/>
    </w:rPr>
  </w:style>
  <w:style w:type="character" w:customStyle="1" w:styleId="BodyTextIndent3Char">
    <w:name w:val="Body Text Indent 3 Char"/>
    <w:basedOn w:val="DefaultParagraphFont"/>
    <w:link w:val="BodyTextIndent3"/>
    <w:rsid w:val="00822064"/>
    <w:rPr>
      <w:rFonts w:ascii="Times New Roman" w:eastAsiaTheme="minorEastAsia" w:hAnsi="Times New Roman"/>
      <w:sz w:val="24"/>
      <w:szCs w:val="16"/>
    </w:rPr>
  </w:style>
  <w:style w:type="paragraph" w:styleId="DocumentMap">
    <w:name w:val="Document Map"/>
    <w:basedOn w:val="Normal"/>
    <w:link w:val="DocumentMapChar"/>
    <w:uiPriority w:val="99"/>
    <w:semiHidden/>
    <w:unhideWhenUsed/>
    <w:rsid w:val="00822064"/>
    <w:pPr>
      <w:widowControl/>
      <w:autoSpaceDE/>
      <w:autoSpaceDN/>
      <w:adjustRightInd/>
    </w:pPr>
    <w:rPr>
      <w:rFonts w:eastAsiaTheme="minorEastAsia" w:cs="Tahoma"/>
      <w:sz w:val="16"/>
      <w:szCs w:val="16"/>
    </w:rPr>
  </w:style>
  <w:style w:type="character" w:customStyle="1" w:styleId="DocumentMapChar">
    <w:name w:val="Document Map Char"/>
    <w:basedOn w:val="DefaultParagraphFont"/>
    <w:link w:val="DocumentMap"/>
    <w:uiPriority w:val="99"/>
    <w:semiHidden/>
    <w:rsid w:val="00822064"/>
    <w:rPr>
      <w:rFonts w:ascii="Times New Roman" w:eastAsiaTheme="minorEastAsia" w:hAnsi="Times New Roman" w:cs="Tahoma"/>
      <w:sz w:val="16"/>
      <w:szCs w:val="16"/>
    </w:rPr>
  </w:style>
  <w:style w:type="paragraph" w:styleId="HTMLAddress">
    <w:name w:val="HTML Address"/>
    <w:basedOn w:val="Normal"/>
    <w:link w:val="HTMLAddressChar"/>
    <w:uiPriority w:val="99"/>
    <w:semiHidden/>
    <w:unhideWhenUsed/>
    <w:rsid w:val="00822064"/>
    <w:pPr>
      <w:widowControl/>
      <w:autoSpaceDE/>
      <w:autoSpaceDN/>
      <w:adjustRightInd/>
    </w:pPr>
    <w:rPr>
      <w:rFonts w:eastAsiaTheme="minorEastAsia" w:cstheme="minorBidi"/>
      <w:i/>
      <w:iCs/>
      <w:sz w:val="24"/>
    </w:rPr>
  </w:style>
  <w:style w:type="character" w:customStyle="1" w:styleId="HTMLAddressChar">
    <w:name w:val="HTML Address Char"/>
    <w:basedOn w:val="DefaultParagraphFont"/>
    <w:link w:val="HTMLAddress"/>
    <w:uiPriority w:val="99"/>
    <w:semiHidden/>
    <w:rsid w:val="00822064"/>
    <w:rPr>
      <w:rFonts w:ascii="Times New Roman" w:eastAsiaTheme="minorEastAsia" w:hAnsi="Times New Roman"/>
      <w:i/>
      <w:iCs/>
      <w:sz w:val="24"/>
      <w:szCs w:val="24"/>
    </w:rPr>
  </w:style>
  <w:style w:type="paragraph" w:styleId="HTMLPreformatted">
    <w:name w:val="HTML Preformatted"/>
    <w:basedOn w:val="Normal"/>
    <w:link w:val="HTMLPreformattedChar"/>
    <w:uiPriority w:val="99"/>
    <w:semiHidden/>
    <w:unhideWhenUsed/>
    <w:rsid w:val="00822064"/>
    <w:pPr>
      <w:widowControl/>
      <w:autoSpaceDE/>
      <w:autoSpaceDN/>
      <w:adjustRightInd/>
    </w:pPr>
    <w:rPr>
      <w:rFonts w:eastAsiaTheme="minorEastAsia" w:cs="Consolas"/>
      <w:sz w:val="24"/>
      <w:szCs w:val="20"/>
    </w:rPr>
  </w:style>
  <w:style w:type="character" w:customStyle="1" w:styleId="HTMLPreformattedChar">
    <w:name w:val="HTML Preformatted Char"/>
    <w:basedOn w:val="DefaultParagraphFont"/>
    <w:link w:val="HTMLPreformatted"/>
    <w:uiPriority w:val="99"/>
    <w:semiHidden/>
    <w:rsid w:val="00822064"/>
    <w:rPr>
      <w:rFonts w:ascii="Times New Roman" w:eastAsiaTheme="minorEastAsia" w:hAnsi="Times New Roman" w:cs="Consolas"/>
      <w:sz w:val="24"/>
      <w:szCs w:val="20"/>
    </w:rPr>
  </w:style>
  <w:style w:type="paragraph" w:styleId="List">
    <w:name w:val="List"/>
    <w:basedOn w:val="Normal"/>
    <w:rsid w:val="00822064"/>
    <w:pPr>
      <w:widowControl/>
      <w:autoSpaceDE/>
      <w:autoSpaceDN/>
      <w:adjustRightInd/>
      <w:spacing w:after="240"/>
      <w:ind w:left="720" w:hanging="720"/>
      <w:outlineLvl w:val="0"/>
    </w:pPr>
    <w:rPr>
      <w:rFonts w:eastAsiaTheme="minorEastAsia" w:cstheme="minorBidi"/>
      <w:sz w:val="24"/>
    </w:rPr>
  </w:style>
  <w:style w:type="paragraph" w:styleId="Index1">
    <w:name w:val="index 1"/>
    <w:basedOn w:val="Normal"/>
    <w:next w:val="Normal"/>
    <w:autoRedefine/>
    <w:uiPriority w:val="99"/>
    <w:semiHidden/>
    <w:rsid w:val="00822064"/>
    <w:pPr>
      <w:widowControl/>
      <w:autoSpaceDE/>
      <w:autoSpaceDN/>
      <w:adjustRightInd/>
      <w:ind w:left="720" w:hanging="720"/>
    </w:pPr>
    <w:rPr>
      <w:rFonts w:eastAsiaTheme="minorEastAsia" w:cstheme="minorBidi"/>
      <w:sz w:val="24"/>
    </w:rPr>
  </w:style>
  <w:style w:type="paragraph" w:styleId="Index2">
    <w:name w:val="index 2"/>
    <w:basedOn w:val="Normal"/>
    <w:next w:val="Normal"/>
    <w:autoRedefine/>
    <w:uiPriority w:val="99"/>
    <w:semiHidden/>
    <w:rsid w:val="00822064"/>
    <w:pPr>
      <w:widowControl/>
      <w:autoSpaceDE/>
      <w:autoSpaceDN/>
      <w:adjustRightInd/>
      <w:ind w:left="1440" w:hanging="720"/>
    </w:pPr>
    <w:rPr>
      <w:rFonts w:eastAsiaTheme="minorEastAsia" w:cstheme="minorBidi"/>
      <w:sz w:val="24"/>
    </w:rPr>
  </w:style>
  <w:style w:type="paragraph" w:styleId="Index3">
    <w:name w:val="index 3"/>
    <w:basedOn w:val="Normal"/>
    <w:next w:val="Normal"/>
    <w:autoRedefine/>
    <w:uiPriority w:val="99"/>
    <w:semiHidden/>
    <w:rsid w:val="00822064"/>
    <w:pPr>
      <w:widowControl/>
      <w:autoSpaceDE/>
      <w:autoSpaceDN/>
      <w:adjustRightInd/>
      <w:ind w:left="2160" w:hanging="720"/>
    </w:pPr>
    <w:rPr>
      <w:rFonts w:eastAsiaTheme="minorEastAsia" w:cstheme="minorBidi"/>
      <w:sz w:val="24"/>
    </w:rPr>
  </w:style>
  <w:style w:type="paragraph" w:styleId="Index4">
    <w:name w:val="index 4"/>
    <w:basedOn w:val="Normal"/>
    <w:next w:val="Normal"/>
    <w:autoRedefine/>
    <w:uiPriority w:val="99"/>
    <w:semiHidden/>
    <w:rsid w:val="00822064"/>
    <w:pPr>
      <w:widowControl/>
      <w:autoSpaceDE/>
      <w:autoSpaceDN/>
      <w:adjustRightInd/>
      <w:ind w:left="2880" w:hanging="720"/>
    </w:pPr>
    <w:rPr>
      <w:rFonts w:eastAsiaTheme="minorEastAsia" w:cstheme="minorBidi"/>
      <w:sz w:val="24"/>
    </w:rPr>
  </w:style>
  <w:style w:type="paragraph" w:styleId="Index5">
    <w:name w:val="index 5"/>
    <w:basedOn w:val="Normal"/>
    <w:next w:val="Normal"/>
    <w:autoRedefine/>
    <w:uiPriority w:val="99"/>
    <w:semiHidden/>
    <w:rsid w:val="00822064"/>
    <w:pPr>
      <w:widowControl/>
      <w:autoSpaceDE/>
      <w:autoSpaceDN/>
      <w:adjustRightInd/>
      <w:ind w:left="3600" w:hanging="720"/>
    </w:pPr>
    <w:rPr>
      <w:rFonts w:eastAsiaTheme="minorEastAsia" w:cstheme="minorBidi"/>
      <w:sz w:val="24"/>
    </w:rPr>
  </w:style>
  <w:style w:type="paragraph" w:styleId="Index6">
    <w:name w:val="index 6"/>
    <w:basedOn w:val="Normal"/>
    <w:next w:val="Normal"/>
    <w:autoRedefine/>
    <w:uiPriority w:val="99"/>
    <w:semiHidden/>
    <w:rsid w:val="00822064"/>
    <w:pPr>
      <w:widowControl/>
      <w:autoSpaceDE/>
      <w:autoSpaceDN/>
      <w:adjustRightInd/>
      <w:ind w:left="4320" w:hanging="720"/>
    </w:pPr>
    <w:rPr>
      <w:rFonts w:eastAsiaTheme="minorEastAsia" w:cstheme="minorBidi"/>
      <w:sz w:val="24"/>
    </w:rPr>
  </w:style>
  <w:style w:type="paragraph" w:styleId="Index7">
    <w:name w:val="index 7"/>
    <w:basedOn w:val="Normal"/>
    <w:next w:val="Normal"/>
    <w:autoRedefine/>
    <w:uiPriority w:val="99"/>
    <w:semiHidden/>
    <w:rsid w:val="00822064"/>
    <w:pPr>
      <w:widowControl/>
      <w:autoSpaceDE/>
      <w:autoSpaceDN/>
      <w:adjustRightInd/>
      <w:ind w:left="5040" w:hanging="720"/>
    </w:pPr>
    <w:rPr>
      <w:rFonts w:eastAsiaTheme="minorEastAsia" w:cstheme="minorBidi"/>
      <w:sz w:val="24"/>
    </w:rPr>
  </w:style>
  <w:style w:type="paragraph" w:styleId="TOC1">
    <w:name w:val="toc 1"/>
    <w:basedOn w:val="Normal"/>
    <w:next w:val="Normal"/>
    <w:autoRedefine/>
    <w:uiPriority w:val="39"/>
    <w:unhideWhenUsed/>
    <w:rsid w:val="00822064"/>
    <w:pPr>
      <w:widowControl/>
      <w:tabs>
        <w:tab w:val="right" w:leader="dot" w:pos="9360"/>
      </w:tabs>
      <w:autoSpaceDE/>
      <w:autoSpaceDN/>
      <w:adjustRightInd/>
      <w:spacing w:after="240"/>
      <w:ind w:left="720" w:right="720" w:hanging="720"/>
    </w:pPr>
    <w:rPr>
      <w:rFonts w:eastAsiaTheme="minorEastAsia" w:cstheme="minorBidi"/>
      <w:noProof/>
      <w:sz w:val="24"/>
    </w:rPr>
  </w:style>
  <w:style w:type="character" w:styleId="HTMLTypewriter">
    <w:name w:val="HTML Typewriter"/>
    <w:basedOn w:val="DefaultParagraphFont"/>
    <w:uiPriority w:val="99"/>
    <w:semiHidden/>
    <w:unhideWhenUsed/>
    <w:rsid w:val="00822064"/>
    <w:rPr>
      <w:rFonts w:ascii="Times New Roman" w:hAnsi="Times New Roman" w:cs="Consolas"/>
      <w:sz w:val="20"/>
      <w:szCs w:val="20"/>
    </w:rPr>
  </w:style>
  <w:style w:type="character" w:styleId="HTMLSample">
    <w:name w:val="HTML Sample"/>
    <w:basedOn w:val="DefaultParagraphFont"/>
    <w:uiPriority w:val="99"/>
    <w:semiHidden/>
    <w:unhideWhenUsed/>
    <w:rsid w:val="00822064"/>
    <w:rPr>
      <w:rFonts w:ascii="Times New Roman" w:hAnsi="Times New Roman" w:cs="Consolas"/>
      <w:sz w:val="24"/>
      <w:szCs w:val="24"/>
    </w:rPr>
  </w:style>
  <w:style w:type="paragraph" w:styleId="Bibliography">
    <w:name w:val="Bibliography"/>
    <w:basedOn w:val="Normal"/>
    <w:uiPriority w:val="37"/>
    <w:unhideWhenUsed/>
    <w:rsid w:val="00822064"/>
    <w:pPr>
      <w:widowControl/>
      <w:autoSpaceDE/>
      <w:autoSpaceDN/>
      <w:adjustRightInd/>
      <w:spacing w:after="240"/>
    </w:pPr>
    <w:rPr>
      <w:rFonts w:eastAsiaTheme="minorEastAsia" w:cstheme="minorBidi"/>
      <w:sz w:val="24"/>
    </w:rPr>
  </w:style>
  <w:style w:type="character" w:styleId="SubtleEmphasis">
    <w:name w:val="Subtle Emphasis"/>
    <w:basedOn w:val="DefaultParagraphFont"/>
    <w:uiPriority w:val="19"/>
    <w:rsid w:val="00822064"/>
    <w:rPr>
      <w:i/>
      <w:iCs/>
      <w:color w:val="auto"/>
    </w:rPr>
  </w:style>
  <w:style w:type="character" w:styleId="SubtleReference">
    <w:name w:val="Subtle Reference"/>
    <w:basedOn w:val="DefaultParagraphFont"/>
    <w:uiPriority w:val="31"/>
    <w:rsid w:val="00822064"/>
    <w:rPr>
      <w:smallCaps/>
      <w:color w:val="auto"/>
      <w:u w:val="single"/>
    </w:rPr>
  </w:style>
  <w:style w:type="paragraph" w:styleId="BodyTextIndent2">
    <w:name w:val="Body Text Indent 2"/>
    <w:basedOn w:val="Normal"/>
    <w:link w:val="BodyTextIndent2Char"/>
    <w:rsid w:val="00822064"/>
    <w:pPr>
      <w:widowControl/>
      <w:autoSpaceDE/>
      <w:autoSpaceDN/>
      <w:adjustRightInd/>
      <w:spacing w:after="240"/>
      <w:ind w:left="1440"/>
    </w:pPr>
    <w:rPr>
      <w:rFonts w:eastAsiaTheme="minorEastAsia" w:cstheme="minorBidi"/>
      <w:sz w:val="24"/>
    </w:rPr>
  </w:style>
  <w:style w:type="character" w:customStyle="1" w:styleId="BodyTextIndent2Char">
    <w:name w:val="Body Text Indent 2 Char"/>
    <w:basedOn w:val="DefaultParagraphFont"/>
    <w:link w:val="BodyTextIndent2"/>
    <w:rsid w:val="00822064"/>
    <w:rPr>
      <w:rFonts w:ascii="Times New Roman" w:eastAsiaTheme="minorEastAsia" w:hAnsi="Times New Roman"/>
      <w:sz w:val="24"/>
      <w:szCs w:val="24"/>
    </w:rPr>
  </w:style>
  <w:style w:type="paragraph" w:customStyle="1" w:styleId="BodyTextDbl">
    <w:name w:val="Body Text Dbl"/>
    <w:basedOn w:val="Normal"/>
    <w:link w:val="BodyTextDblChar"/>
    <w:qFormat/>
    <w:rsid w:val="00822064"/>
    <w:pPr>
      <w:widowControl/>
      <w:autoSpaceDE/>
      <w:autoSpaceDN/>
      <w:adjustRightInd/>
      <w:spacing w:line="480" w:lineRule="auto"/>
    </w:pPr>
    <w:rPr>
      <w:rFonts w:eastAsiaTheme="minorEastAsia" w:cstheme="minorBidi"/>
      <w:sz w:val="24"/>
    </w:rPr>
  </w:style>
  <w:style w:type="paragraph" w:customStyle="1" w:styleId="BodyTextDblFirst5">
    <w:name w:val="Body Text Dbl First .5"/>
    <w:basedOn w:val="Normal"/>
    <w:link w:val="BodyTextDblFirst5Char"/>
    <w:qFormat/>
    <w:rsid w:val="00822064"/>
    <w:pPr>
      <w:widowControl/>
      <w:autoSpaceDE/>
      <w:autoSpaceDN/>
      <w:adjustRightInd/>
      <w:spacing w:line="480" w:lineRule="auto"/>
      <w:ind w:firstLine="720"/>
    </w:pPr>
    <w:rPr>
      <w:rFonts w:eastAsiaTheme="minorEastAsia" w:cstheme="minorBidi"/>
      <w:sz w:val="24"/>
    </w:rPr>
  </w:style>
  <w:style w:type="paragraph" w:customStyle="1" w:styleId="BodyTextFirst5">
    <w:name w:val="Body Text First .5"/>
    <w:basedOn w:val="Normal"/>
    <w:link w:val="BodyTextFirst5Char"/>
    <w:qFormat/>
    <w:rsid w:val="00822064"/>
    <w:pPr>
      <w:widowControl/>
      <w:autoSpaceDE/>
      <w:autoSpaceDN/>
      <w:adjustRightInd/>
      <w:spacing w:after="240"/>
      <w:ind w:firstLine="720"/>
    </w:pPr>
    <w:rPr>
      <w:rFonts w:eastAsiaTheme="minorEastAsia" w:cstheme="minorBidi"/>
      <w:sz w:val="24"/>
    </w:rPr>
  </w:style>
  <w:style w:type="paragraph" w:customStyle="1" w:styleId="ccList">
    <w:name w:val="cc List"/>
    <w:basedOn w:val="Normal"/>
    <w:rsid w:val="00822064"/>
    <w:pPr>
      <w:widowControl/>
      <w:tabs>
        <w:tab w:val="left" w:pos="720"/>
      </w:tabs>
      <w:autoSpaceDE/>
      <w:autoSpaceDN/>
      <w:adjustRightInd/>
      <w:spacing w:after="240"/>
      <w:ind w:left="720" w:hanging="720"/>
    </w:pPr>
    <w:rPr>
      <w:rFonts w:eastAsiaTheme="minorEastAsia" w:cstheme="minorBidi"/>
      <w:sz w:val="24"/>
    </w:rPr>
  </w:style>
  <w:style w:type="paragraph" w:styleId="Closing">
    <w:name w:val="Closing"/>
    <w:basedOn w:val="Normal"/>
    <w:next w:val="Signature"/>
    <w:link w:val="ClosingChar"/>
    <w:uiPriority w:val="99"/>
    <w:rsid w:val="00822064"/>
    <w:pPr>
      <w:widowControl/>
      <w:autoSpaceDE/>
      <w:autoSpaceDN/>
      <w:adjustRightInd/>
      <w:ind w:left="5040"/>
    </w:pPr>
    <w:rPr>
      <w:rFonts w:eastAsiaTheme="minorEastAsia" w:cstheme="minorBidi"/>
      <w:sz w:val="24"/>
    </w:rPr>
  </w:style>
  <w:style w:type="character" w:customStyle="1" w:styleId="ClosingChar">
    <w:name w:val="Closing Char"/>
    <w:basedOn w:val="DefaultParagraphFont"/>
    <w:link w:val="Closing"/>
    <w:uiPriority w:val="99"/>
    <w:rsid w:val="00822064"/>
    <w:rPr>
      <w:rFonts w:ascii="Times New Roman" w:eastAsiaTheme="minorEastAsia" w:hAnsi="Times New Roman"/>
      <w:sz w:val="24"/>
      <w:szCs w:val="24"/>
    </w:rPr>
  </w:style>
  <w:style w:type="paragraph" w:styleId="Date">
    <w:name w:val="Date"/>
    <w:basedOn w:val="Normal"/>
    <w:link w:val="DateChar"/>
    <w:uiPriority w:val="99"/>
    <w:rsid w:val="00822064"/>
    <w:pPr>
      <w:widowControl/>
      <w:autoSpaceDE/>
      <w:autoSpaceDN/>
      <w:adjustRightInd/>
      <w:spacing w:after="240"/>
    </w:pPr>
    <w:rPr>
      <w:rFonts w:eastAsiaTheme="minorEastAsia" w:cstheme="minorBidi"/>
      <w:sz w:val="24"/>
    </w:rPr>
  </w:style>
  <w:style w:type="character" w:customStyle="1" w:styleId="DateChar">
    <w:name w:val="Date Char"/>
    <w:basedOn w:val="DefaultParagraphFont"/>
    <w:link w:val="Date"/>
    <w:uiPriority w:val="99"/>
    <w:rsid w:val="00822064"/>
    <w:rPr>
      <w:rFonts w:ascii="Times New Roman" w:eastAsiaTheme="minorEastAsia" w:hAnsi="Times New Roman"/>
      <w:sz w:val="24"/>
      <w:szCs w:val="24"/>
    </w:rPr>
  </w:style>
  <w:style w:type="paragraph" w:customStyle="1" w:styleId="DateStamp">
    <w:name w:val="DateStamp"/>
    <w:basedOn w:val="Normal"/>
    <w:rsid w:val="00822064"/>
    <w:pPr>
      <w:widowControl/>
      <w:tabs>
        <w:tab w:val="center" w:pos="4680"/>
        <w:tab w:val="right" w:pos="9360"/>
      </w:tabs>
      <w:autoSpaceDE/>
      <w:autoSpaceDN/>
      <w:adjustRightInd/>
      <w:spacing w:after="240"/>
    </w:pPr>
    <w:rPr>
      <w:rFonts w:eastAsiaTheme="minorEastAsia" w:cstheme="minorBidi"/>
      <w:sz w:val="24"/>
    </w:rPr>
  </w:style>
  <w:style w:type="paragraph" w:customStyle="1" w:styleId="DocID">
    <w:name w:val="DocID"/>
    <w:basedOn w:val="Normal"/>
    <w:semiHidden/>
    <w:unhideWhenUsed/>
    <w:rsid w:val="00822064"/>
    <w:pPr>
      <w:widowControl/>
      <w:autoSpaceDE/>
      <w:autoSpaceDN/>
      <w:adjustRightInd/>
    </w:pPr>
    <w:rPr>
      <w:rFonts w:eastAsiaTheme="minorEastAsia" w:cstheme="minorBidi"/>
      <w:sz w:val="16"/>
    </w:rPr>
  </w:style>
  <w:style w:type="paragraph" w:styleId="ListBullet">
    <w:name w:val="List Bullet"/>
    <w:basedOn w:val="Normal"/>
    <w:rsid w:val="00822064"/>
    <w:pPr>
      <w:widowControl/>
      <w:numPr>
        <w:numId w:val="1"/>
      </w:numPr>
      <w:tabs>
        <w:tab w:val="clear" w:pos="360"/>
      </w:tabs>
      <w:autoSpaceDE/>
      <w:autoSpaceDN/>
      <w:adjustRightInd/>
      <w:spacing w:after="240"/>
      <w:ind w:left="0" w:firstLine="0"/>
      <w:outlineLvl w:val="0"/>
    </w:pPr>
    <w:rPr>
      <w:rFonts w:eastAsiaTheme="minorEastAsia" w:cstheme="minorBidi"/>
      <w:sz w:val="24"/>
    </w:rPr>
  </w:style>
  <w:style w:type="paragraph" w:customStyle="1" w:styleId="Enclosure">
    <w:name w:val="Enclosure"/>
    <w:basedOn w:val="Normal"/>
    <w:rsid w:val="00822064"/>
    <w:pPr>
      <w:keepLines/>
      <w:widowControl/>
      <w:autoSpaceDE/>
      <w:autoSpaceDN/>
      <w:adjustRightInd/>
      <w:spacing w:after="240"/>
    </w:pPr>
    <w:rPr>
      <w:rFonts w:eastAsiaTheme="minorEastAsia" w:cstheme="minorBidi"/>
      <w:sz w:val="24"/>
    </w:rPr>
  </w:style>
  <w:style w:type="paragraph" w:styleId="EnvelopeAddress">
    <w:name w:val="envelope address"/>
    <w:basedOn w:val="Normal"/>
    <w:uiPriority w:val="99"/>
    <w:semiHidden/>
    <w:unhideWhenUsed/>
    <w:rsid w:val="00822064"/>
    <w:pPr>
      <w:framePr w:w="7920" w:h="1980" w:hRule="exact" w:hSpace="180" w:wrap="auto" w:hAnchor="page" w:xAlign="center" w:yAlign="bottom"/>
      <w:widowControl/>
      <w:autoSpaceDE/>
      <w:autoSpaceDN/>
      <w:adjustRightInd/>
      <w:ind w:left="2880"/>
    </w:pPr>
    <w:rPr>
      <w:sz w:val="24"/>
    </w:rPr>
  </w:style>
  <w:style w:type="paragraph" w:styleId="EnvelopeReturn">
    <w:name w:val="envelope return"/>
    <w:basedOn w:val="Normal"/>
    <w:uiPriority w:val="99"/>
    <w:semiHidden/>
    <w:unhideWhenUsed/>
    <w:rsid w:val="00822064"/>
    <w:pPr>
      <w:widowControl/>
      <w:autoSpaceDE/>
      <w:autoSpaceDN/>
      <w:adjustRightInd/>
    </w:pPr>
    <w:rPr>
      <w:szCs w:val="20"/>
    </w:rPr>
  </w:style>
  <w:style w:type="paragraph" w:customStyle="1" w:styleId="FooterLandscape">
    <w:name w:val="Footer Landscape"/>
    <w:basedOn w:val="Normal"/>
    <w:rsid w:val="00822064"/>
    <w:pPr>
      <w:widowControl/>
      <w:tabs>
        <w:tab w:val="center" w:pos="6480"/>
        <w:tab w:val="right" w:pos="12960"/>
      </w:tabs>
      <w:autoSpaceDE/>
      <w:autoSpaceDN/>
      <w:adjustRightInd/>
    </w:pPr>
    <w:rPr>
      <w:rFonts w:eastAsiaTheme="minorEastAsia" w:cstheme="minorBidi"/>
      <w:sz w:val="24"/>
    </w:rPr>
  </w:style>
  <w:style w:type="character" w:styleId="FootnoteReference">
    <w:name w:val="footnote reference"/>
    <w:basedOn w:val="DefaultParagraphFont"/>
    <w:uiPriority w:val="99"/>
    <w:unhideWhenUsed/>
    <w:rsid w:val="00822064"/>
    <w:rPr>
      <w:vertAlign w:val="superscript"/>
    </w:rPr>
  </w:style>
  <w:style w:type="paragraph" w:styleId="FootnoteText">
    <w:name w:val="footnote text"/>
    <w:basedOn w:val="Normal"/>
    <w:link w:val="FootnoteTextChar"/>
    <w:uiPriority w:val="99"/>
    <w:unhideWhenUsed/>
    <w:rsid w:val="00822064"/>
    <w:pPr>
      <w:widowControl/>
      <w:autoSpaceDE/>
      <w:autoSpaceDN/>
      <w:adjustRightInd/>
    </w:pPr>
    <w:rPr>
      <w:rFonts w:eastAsiaTheme="minorEastAsia" w:cstheme="minorBidi"/>
      <w:szCs w:val="20"/>
    </w:rPr>
  </w:style>
  <w:style w:type="character" w:customStyle="1" w:styleId="FootnoteTextChar">
    <w:name w:val="Footnote Text Char"/>
    <w:basedOn w:val="DefaultParagraphFont"/>
    <w:link w:val="FootnoteText"/>
    <w:uiPriority w:val="99"/>
    <w:rsid w:val="00822064"/>
    <w:rPr>
      <w:rFonts w:ascii="Times New Roman" w:eastAsiaTheme="minorEastAsia" w:hAnsi="Times New Roman"/>
      <w:sz w:val="20"/>
      <w:szCs w:val="20"/>
    </w:rPr>
  </w:style>
  <w:style w:type="paragraph" w:customStyle="1" w:styleId="HeaderLandscape">
    <w:name w:val="Header Landscape"/>
    <w:basedOn w:val="Normal"/>
    <w:rsid w:val="00822064"/>
    <w:pPr>
      <w:widowControl/>
      <w:tabs>
        <w:tab w:val="center" w:pos="6480"/>
        <w:tab w:val="right" w:pos="12960"/>
      </w:tabs>
      <w:autoSpaceDE/>
      <w:autoSpaceDN/>
      <w:adjustRightInd/>
    </w:pPr>
    <w:rPr>
      <w:rFonts w:eastAsiaTheme="minorEastAsia" w:cstheme="minorBidi"/>
      <w:sz w:val="24"/>
    </w:rPr>
  </w:style>
  <w:style w:type="paragraph" w:styleId="Index8">
    <w:name w:val="index 8"/>
    <w:basedOn w:val="Normal"/>
    <w:next w:val="Normal"/>
    <w:autoRedefine/>
    <w:uiPriority w:val="99"/>
    <w:semiHidden/>
    <w:rsid w:val="00822064"/>
    <w:pPr>
      <w:widowControl/>
      <w:autoSpaceDE/>
      <w:autoSpaceDN/>
      <w:adjustRightInd/>
      <w:ind w:left="5760" w:hanging="720"/>
    </w:pPr>
    <w:rPr>
      <w:rFonts w:eastAsiaTheme="minorEastAsia" w:cstheme="minorBidi"/>
      <w:sz w:val="24"/>
    </w:rPr>
  </w:style>
  <w:style w:type="paragraph" w:styleId="Index9">
    <w:name w:val="index 9"/>
    <w:basedOn w:val="Normal"/>
    <w:next w:val="Normal"/>
    <w:autoRedefine/>
    <w:uiPriority w:val="99"/>
    <w:semiHidden/>
    <w:rsid w:val="00822064"/>
    <w:pPr>
      <w:widowControl/>
      <w:autoSpaceDE/>
      <w:autoSpaceDN/>
      <w:adjustRightInd/>
      <w:ind w:left="6480" w:hanging="720"/>
    </w:pPr>
    <w:rPr>
      <w:rFonts w:eastAsiaTheme="minorEastAsia" w:cstheme="minorBidi"/>
      <w:sz w:val="24"/>
    </w:rPr>
  </w:style>
  <w:style w:type="paragraph" w:styleId="IndexHeading">
    <w:name w:val="index heading"/>
    <w:basedOn w:val="Normal"/>
    <w:next w:val="Index1"/>
    <w:uiPriority w:val="99"/>
    <w:semiHidden/>
    <w:unhideWhenUsed/>
    <w:rsid w:val="00822064"/>
    <w:pPr>
      <w:widowControl/>
      <w:autoSpaceDE/>
      <w:autoSpaceDN/>
      <w:adjustRightInd/>
    </w:pPr>
    <w:rPr>
      <w:b/>
      <w:bCs/>
      <w:sz w:val="24"/>
    </w:rPr>
  </w:style>
  <w:style w:type="paragraph" w:styleId="List2">
    <w:name w:val="List 2"/>
    <w:basedOn w:val="List"/>
    <w:rsid w:val="00822064"/>
    <w:pPr>
      <w:ind w:left="1440"/>
      <w:outlineLvl w:val="1"/>
    </w:pPr>
  </w:style>
  <w:style w:type="paragraph" w:styleId="List3">
    <w:name w:val="List 3"/>
    <w:basedOn w:val="List"/>
    <w:rsid w:val="00822064"/>
    <w:pPr>
      <w:ind w:left="2160"/>
      <w:outlineLvl w:val="2"/>
    </w:pPr>
  </w:style>
  <w:style w:type="paragraph" w:styleId="List4">
    <w:name w:val="List 4"/>
    <w:basedOn w:val="List"/>
    <w:rsid w:val="00822064"/>
    <w:pPr>
      <w:ind w:left="2880"/>
      <w:outlineLvl w:val="3"/>
    </w:pPr>
  </w:style>
  <w:style w:type="paragraph" w:styleId="List5">
    <w:name w:val="List 5"/>
    <w:basedOn w:val="List"/>
    <w:rsid w:val="00822064"/>
    <w:pPr>
      <w:ind w:left="3600"/>
      <w:outlineLvl w:val="4"/>
    </w:pPr>
  </w:style>
  <w:style w:type="paragraph" w:styleId="ListBullet2">
    <w:name w:val="List Bullet 2"/>
    <w:basedOn w:val="ListBullet"/>
    <w:rsid w:val="00822064"/>
    <w:pPr>
      <w:numPr>
        <w:numId w:val="6"/>
      </w:numPr>
      <w:ind w:left="0" w:firstLine="0"/>
      <w:outlineLvl w:val="1"/>
    </w:pPr>
  </w:style>
  <w:style w:type="paragraph" w:styleId="ListBullet3">
    <w:name w:val="List Bullet 3"/>
    <w:basedOn w:val="ListBullet"/>
    <w:rsid w:val="00822064"/>
    <w:pPr>
      <w:numPr>
        <w:numId w:val="7"/>
      </w:numPr>
      <w:ind w:left="0" w:firstLine="0"/>
      <w:outlineLvl w:val="2"/>
    </w:pPr>
  </w:style>
  <w:style w:type="paragraph" w:styleId="ListBullet4">
    <w:name w:val="List Bullet 4"/>
    <w:basedOn w:val="ListBullet"/>
    <w:rsid w:val="00822064"/>
    <w:pPr>
      <w:numPr>
        <w:numId w:val="8"/>
      </w:numPr>
      <w:ind w:left="0" w:firstLine="0"/>
      <w:outlineLvl w:val="3"/>
    </w:pPr>
  </w:style>
  <w:style w:type="paragraph" w:styleId="ListBullet5">
    <w:name w:val="List Bullet 5"/>
    <w:basedOn w:val="ListBullet"/>
    <w:rsid w:val="00822064"/>
    <w:pPr>
      <w:numPr>
        <w:numId w:val="9"/>
      </w:numPr>
      <w:ind w:left="0" w:firstLine="0"/>
      <w:outlineLvl w:val="4"/>
    </w:pPr>
  </w:style>
  <w:style w:type="paragraph" w:styleId="ListContinue">
    <w:name w:val="List Continue"/>
    <w:basedOn w:val="Normal"/>
    <w:uiPriority w:val="99"/>
    <w:semiHidden/>
    <w:rsid w:val="00822064"/>
    <w:pPr>
      <w:widowControl/>
      <w:autoSpaceDE/>
      <w:autoSpaceDN/>
      <w:adjustRightInd/>
      <w:spacing w:after="240"/>
      <w:ind w:left="720"/>
    </w:pPr>
    <w:rPr>
      <w:rFonts w:eastAsiaTheme="minorEastAsia" w:cstheme="minorBidi"/>
      <w:sz w:val="24"/>
    </w:rPr>
  </w:style>
  <w:style w:type="paragraph" w:styleId="ListContinue2">
    <w:name w:val="List Continue 2"/>
    <w:basedOn w:val="ListContinue"/>
    <w:uiPriority w:val="99"/>
    <w:unhideWhenUsed/>
    <w:rsid w:val="00822064"/>
    <w:pPr>
      <w:ind w:left="1440"/>
    </w:pPr>
  </w:style>
  <w:style w:type="paragraph" w:styleId="ListContinue3">
    <w:name w:val="List Continue 3"/>
    <w:basedOn w:val="ListContinue"/>
    <w:uiPriority w:val="99"/>
    <w:unhideWhenUsed/>
    <w:rsid w:val="00822064"/>
    <w:pPr>
      <w:ind w:left="2160"/>
    </w:pPr>
  </w:style>
  <w:style w:type="paragraph" w:styleId="ListContinue4">
    <w:name w:val="List Continue 4"/>
    <w:basedOn w:val="ListContinue"/>
    <w:uiPriority w:val="99"/>
    <w:unhideWhenUsed/>
    <w:rsid w:val="00822064"/>
    <w:pPr>
      <w:ind w:left="2880"/>
    </w:pPr>
  </w:style>
  <w:style w:type="paragraph" w:styleId="ListContinue5">
    <w:name w:val="List Continue 5"/>
    <w:basedOn w:val="ListContinue"/>
    <w:uiPriority w:val="99"/>
    <w:unhideWhenUsed/>
    <w:rsid w:val="00822064"/>
    <w:pPr>
      <w:ind w:left="3600"/>
    </w:pPr>
  </w:style>
  <w:style w:type="paragraph" w:styleId="ListNumber">
    <w:name w:val="List Number"/>
    <w:basedOn w:val="Normal"/>
    <w:uiPriority w:val="99"/>
    <w:rsid w:val="00822064"/>
    <w:pPr>
      <w:widowControl/>
      <w:numPr>
        <w:numId w:val="2"/>
      </w:numPr>
      <w:tabs>
        <w:tab w:val="clear" w:pos="360"/>
      </w:tabs>
      <w:autoSpaceDE/>
      <w:autoSpaceDN/>
      <w:adjustRightInd/>
      <w:spacing w:after="240"/>
      <w:ind w:left="0" w:firstLine="0"/>
      <w:outlineLvl w:val="0"/>
    </w:pPr>
    <w:rPr>
      <w:rFonts w:eastAsiaTheme="minorEastAsia" w:cstheme="minorBidi"/>
      <w:sz w:val="24"/>
    </w:rPr>
  </w:style>
  <w:style w:type="paragraph" w:styleId="ListNumber2">
    <w:name w:val="List Number 2"/>
    <w:basedOn w:val="ListNumber"/>
    <w:uiPriority w:val="99"/>
    <w:rsid w:val="00822064"/>
    <w:pPr>
      <w:numPr>
        <w:numId w:val="10"/>
      </w:numPr>
      <w:ind w:left="0" w:firstLine="0"/>
      <w:outlineLvl w:val="1"/>
    </w:pPr>
  </w:style>
  <w:style w:type="paragraph" w:styleId="ListNumber3">
    <w:name w:val="List Number 3"/>
    <w:basedOn w:val="ListNumber"/>
    <w:uiPriority w:val="99"/>
    <w:rsid w:val="00822064"/>
    <w:pPr>
      <w:numPr>
        <w:numId w:val="14"/>
      </w:numPr>
      <w:ind w:left="0" w:firstLine="0"/>
      <w:outlineLvl w:val="2"/>
    </w:pPr>
  </w:style>
  <w:style w:type="paragraph" w:styleId="ListNumber4">
    <w:name w:val="List Number 4"/>
    <w:basedOn w:val="ListNumber"/>
    <w:uiPriority w:val="99"/>
    <w:rsid w:val="00822064"/>
    <w:pPr>
      <w:numPr>
        <w:numId w:val="15"/>
      </w:numPr>
      <w:ind w:left="0" w:firstLine="0"/>
      <w:outlineLvl w:val="3"/>
    </w:pPr>
  </w:style>
  <w:style w:type="paragraph" w:styleId="ListNumber5">
    <w:name w:val="List Number 5"/>
    <w:basedOn w:val="ListNumber"/>
    <w:uiPriority w:val="99"/>
    <w:rsid w:val="00822064"/>
    <w:pPr>
      <w:numPr>
        <w:numId w:val="16"/>
      </w:numPr>
      <w:ind w:left="0" w:firstLine="0"/>
      <w:outlineLvl w:val="4"/>
    </w:pPr>
  </w:style>
  <w:style w:type="paragraph" w:styleId="MacroText">
    <w:name w:val="macro"/>
    <w:link w:val="MacroTextChar"/>
    <w:uiPriority w:val="99"/>
    <w:semiHidden/>
    <w:unhideWhenUsed/>
    <w:rsid w:val="0082206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heme="minorEastAsia" w:hAnsi="Times New Roman" w:cs="Consolas"/>
      <w:sz w:val="24"/>
      <w:szCs w:val="20"/>
    </w:rPr>
  </w:style>
  <w:style w:type="character" w:customStyle="1" w:styleId="MacroTextChar">
    <w:name w:val="Macro Text Char"/>
    <w:basedOn w:val="DefaultParagraphFont"/>
    <w:link w:val="MacroText"/>
    <w:uiPriority w:val="99"/>
    <w:semiHidden/>
    <w:rsid w:val="00822064"/>
    <w:rPr>
      <w:rFonts w:ascii="Times New Roman" w:eastAsiaTheme="minorEastAsia" w:hAnsi="Times New Roman" w:cs="Consolas"/>
      <w:sz w:val="24"/>
      <w:szCs w:val="20"/>
    </w:rPr>
  </w:style>
  <w:style w:type="paragraph" w:styleId="PlainText">
    <w:name w:val="Plain Text"/>
    <w:basedOn w:val="Normal"/>
    <w:link w:val="PlainTextChar"/>
    <w:uiPriority w:val="99"/>
    <w:semiHidden/>
    <w:unhideWhenUsed/>
    <w:rsid w:val="00822064"/>
    <w:pPr>
      <w:widowControl/>
      <w:autoSpaceDE/>
      <w:autoSpaceDN/>
      <w:adjustRightInd/>
    </w:pPr>
    <w:rPr>
      <w:rFonts w:eastAsiaTheme="minorEastAsia" w:cs="Consolas"/>
      <w:sz w:val="24"/>
      <w:szCs w:val="21"/>
    </w:rPr>
  </w:style>
  <w:style w:type="character" w:customStyle="1" w:styleId="PlainTextChar">
    <w:name w:val="Plain Text Char"/>
    <w:basedOn w:val="DefaultParagraphFont"/>
    <w:link w:val="PlainText"/>
    <w:uiPriority w:val="99"/>
    <w:semiHidden/>
    <w:rsid w:val="00822064"/>
    <w:rPr>
      <w:rFonts w:ascii="Times New Roman" w:eastAsiaTheme="minorEastAsia" w:hAnsi="Times New Roman" w:cs="Consolas"/>
      <w:sz w:val="24"/>
      <w:szCs w:val="21"/>
    </w:rPr>
  </w:style>
  <w:style w:type="paragraph" w:customStyle="1" w:styleId="Outline">
    <w:name w:val="Outline"/>
    <w:basedOn w:val="Normal"/>
    <w:rsid w:val="00822064"/>
    <w:pPr>
      <w:widowControl/>
      <w:autoSpaceDE/>
      <w:autoSpaceDN/>
      <w:adjustRightInd/>
      <w:spacing w:after="240"/>
    </w:pPr>
    <w:rPr>
      <w:rFonts w:eastAsiaTheme="minorEastAsia" w:cstheme="minorBidi"/>
      <w:sz w:val="24"/>
    </w:rPr>
  </w:style>
  <w:style w:type="paragraph" w:customStyle="1" w:styleId="ParaNum">
    <w:name w:val="ParaNum"/>
    <w:basedOn w:val="Normal"/>
    <w:rsid w:val="00822064"/>
    <w:pPr>
      <w:widowControl/>
      <w:tabs>
        <w:tab w:val="left" w:pos="1080"/>
      </w:tabs>
      <w:autoSpaceDE/>
      <w:autoSpaceDN/>
      <w:adjustRightInd/>
      <w:spacing w:after="240"/>
    </w:pPr>
    <w:rPr>
      <w:rFonts w:eastAsiaTheme="minorEastAsia" w:cstheme="minorBidi"/>
      <w:sz w:val="24"/>
    </w:rPr>
  </w:style>
  <w:style w:type="paragraph" w:customStyle="1" w:styleId="QuoteDbl">
    <w:name w:val="Quote Dbl"/>
    <w:basedOn w:val="Normal"/>
    <w:rsid w:val="00822064"/>
    <w:pPr>
      <w:widowControl/>
      <w:autoSpaceDE/>
      <w:autoSpaceDN/>
      <w:adjustRightInd/>
      <w:spacing w:line="480" w:lineRule="auto"/>
      <w:ind w:left="720" w:right="720"/>
    </w:pPr>
    <w:rPr>
      <w:rFonts w:eastAsiaTheme="minorEastAsia" w:cstheme="minorBidi"/>
      <w:sz w:val="24"/>
    </w:rPr>
  </w:style>
  <w:style w:type="paragraph" w:customStyle="1" w:styleId="Privacy">
    <w:name w:val="Privacy"/>
    <w:basedOn w:val="Normal"/>
    <w:link w:val="PrivacyChar"/>
    <w:rsid w:val="00822064"/>
    <w:pPr>
      <w:widowControl/>
      <w:autoSpaceDE/>
      <w:autoSpaceDN/>
      <w:adjustRightInd/>
      <w:spacing w:after="240"/>
    </w:pPr>
    <w:rPr>
      <w:rFonts w:eastAsiaTheme="minorEastAsia" w:cstheme="minorBidi"/>
      <w:color w:val="FF0000"/>
      <w:sz w:val="24"/>
    </w:rPr>
  </w:style>
  <w:style w:type="paragraph" w:customStyle="1" w:styleId="QuoteFootnote">
    <w:name w:val="Quote Footnote"/>
    <w:basedOn w:val="Normal"/>
    <w:rsid w:val="00822064"/>
    <w:pPr>
      <w:widowControl/>
      <w:autoSpaceDE/>
      <w:autoSpaceDN/>
      <w:adjustRightInd/>
      <w:spacing w:after="240"/>
      <w:ind w:left="1800" w:right="1440" w:hanging="360"/>
    </w:pPr>
    <w:rPr>
      <w:rFonts w:eastAsiaTheme="minorEastAsia" w:cstheme="minorBidi"/>
      <w:sz w:val="24"/>
    </w:rPr>
  </w:style>
  <w:style w:type="paragraph" w:customStyle="1" w:styleId="ReLine">
    <w:name w:val="Re Line"/>
    <w:basedOn w:val="Normal"/>
    <w:rsid w:val="00822064"/>
    <w:pPr>
      <w:widowControl/>
      <w:autoSpaceDE/>
      <w:autoSpaceDN/>
      <w:adjustRightInd/>
      <w:spacing w:after="240"/>
      <w:ind w:left="1440" w:hanging="720"/>
    </w:pPr>
    <w:rPr>
      <w:rFonts w:eastAsiaTheme="minorEastAsia" w:cstheme="minorBidi"/>
      <w:sz w:val="24"/>
    </w:rPr>
  </w:style>
  <w:style w:type="paragraph" w:customStyle="1" w:styleId="RecipientTitle">
    <w:name w:val="RecipientTitle"/>
    <w:basedOn w:val="Normal"/>
    <w:rsid w:val="00822064"/>
    <w:pPr>
      <w:widowControl/>
      <w:autoSpaceDE/>
      <w:autoSpaceDN/>
      <w:adjustRightInd/>
      <w:spacing w:after="240"/>
    </w:pPr>
    <w:rPr>
      <w:rFonts w:eastAsiaTheme="minorEastAsia" w:cstheme="minorBidi"/>
      <w:sz w:val="24"/>
    </w:rPr>
  </w:style>
  <w:style w:type="paragraph" w:customStyle="1" w:styleId="Recital">
    <w:name w:val="Recital"/>
    <w:basedOn w:val="Normal"/>
    <w:rsid w:val="00822064"/>
    <w:pPr>
      <w:keepNext/>
      <w:widowControl/>
      <w:autoSpaceDE/>
      <w:autoSpaceDN/>
      <w:adjustRightInd/>
      <w:spacing w:after="240"/>
      <w:jc w:val="center"/>
    </w:pPr>
    <w:rPr>
      <w:rFonts w:eastAsiaTheme="minorEastAsia" w:cstheme="minorBidi"/>
      <w:b/>
      <w:sz w:val="24"/>
      <w:u w:val="single"/>
    </w:rPr>
  </w:style>
  <w:style w:type="paragraph" w:styleId="Salutation">
    <w:name w:val="Salutation"/>
    <w:basedOn w:val="Normal"/>
    <w:next w:val="Normal"/>
    <w:link w:val="SalutationChar"/>
    <w:rsid w:val="00822064"/>
    <w:pPr>
      <w:keepNext/>
      <w:widowControl/>
      <w:autoSpaceDE/>
      <w:autoSpaceDN/>
      <w:adjustRightInd/>
      <w:spacing w:after="240"/>
    </w:pPr>
    <w:rPr>
      <w:rFonts w:eastAsiaTheme="minorEastAsia" w:cstheme="minorBidi"/>
      <w:sz w:val="24"/>
    </w:rPr>
  </w:style>
  <w:style w:type="character" w:customStyle="1" w:styleId="SalutationChar">
    <w:name w:val="Salutation Char"/>
    <w:basedOn w:val="DefaultParagraphFont"/>
    <w:link w:val="Salutation"/>
    <w:rsid w:val="00822064"/>
    <w:rPr>
      <w:rFonts w:ascii="Times New Roman" w:eastAsiaTheme="minorEastAsia" w:hAnsi="Times New Roman"/>
      <w:sz w:val="24"/>
      <w:szCs w:val="24"/>
    </w:rPr>
  </w:style>
  <w:style w:type="paragraph" w:styleId="Signature">
    <w:name w:val="Signature"/>
    <w:basedOn w:val="Normal"/>
    <w:link w:val="SignatureChar"/>
    <w:rsid w:val="00822064"/>
    <w:pPr>
      <w:keepLines/>
      <w:widowControl/>
      <w:autoSpaceDE/>
      <w:autoSpaceDN/>
      <w:adjustRightInd/>
      <w:spacing w:before="480"/>
      <w:ind w:left="5040"/>
    </w:pPr>
    <w:rPr>
      <w:rFonts w:eastAsiaTheme="minorEastAsia" w:cstheme="minorBidi"/>
      <w:sz w:val="24"/>
    </w:rPr>
  </w:style>
  <w:style w:type="character" w:customStyle="1" w:styleId="SignatureChar">
    <w:name w:val="Signature Char"/>
    <w:basedOn w:val="DefaultParagraphFont"/>
    <w:link w:val="Signature"/>
    <w:rsid w:val="00822064"/>
    <w:rPr>
      <w:rFonts w:ascii="Times New Roman" w:eastAsiaTheme="minorEastAsia" w:hAnsi="Times New Roman"/>
      <w:sz w:val="24"/>
      <w:szCs w:val="24"/>
    </w:rPr>
  </w:style>
  <w:style w:type="paragraph" w:customStyle="1" w:styleId="SubtitleLeft">
    <w:name w:val="Subtitle Left"/>
    <w:basedOn w:val="Normal"/>
    <w:uiPriority w:val="9"/>
    <w:qFormat/>
    <w:rsid w:val="00822064"/>
    <w:pPr>
      <w:keepNext/>
      <w:keepLines/>
      <w:widowControl/>
      <w:autoSpaceDE/>
      <w:autoSpaceDN/>
      <w:adjustRightInd/>
      <w:spacing w:after="240"/>
    </w:pPr>
    <w:rPr>
      <w:rFonts w:eastAsiaTheme="minorEastAsia" w:cstheme="minorBidi"/>
      <w:b/>
      <w:sz w:val="24"/>
    </w:rPr>
  </w:style>
  <w:style w:type="paragraph" w:customStyle="1" w:styleId="SubtitleLeftDbl">
    <w:name w:val="Subtitle Left Dbl"/>
    <w:basedOn w:val="Normal"/>
    <w:rsid w:val="00822064"/>
    <w:pPr>
      <w:keepNext/>
      <w:widowControl/>
      <w:autoSpaceDE/>
      <w:autoSpaceDN/>
      <w:adjustRightInd/>
      <w:spacing w:line="480" w:lineRule="auto"/>
    </w:pPr>
    <w:rPr>
      <w:rFonts w:eastAsiaTheme="minorEastAsia" w:cstheme="minorBidi"/>
      <w:b/>
      <w:sz w:val="24"/>
    </w:rPr>
  </w:style>
  <w:style w:type="paragraph" w:customStyle="1" w:styleId="TableHeading">
    <w:name w:val="Table Heading"/>
    <w:basedOn w:val="Normal"/>
    <w:rsid w:val="00822064"/>
    <w:pPr>
      <w:keepNext/>
      <w:widowControl/>
      <w:autoSpaceDE/>
      <w:autoSpaceDN/>
      <w:adjustRightInd/>
    </w:pPr>
    <w:rPr>
      <w:rFonts w:eastAsiaTheme="minorEastAsia" w:cstheme="minorBidi"/>
      <w:b/>
      <w:sz w:val="24"/>
    </w:rPr>
  </w:style>
  <w:style w:type="paragraph" w:customStyle="1" w:styleId="TableText">
    <w:name w:val="Table Text"/>
    <w:basedOn w:val="Normal"/>
    <w:uiPriority w:val="19"/>
    <w:qFormat/>
    <w:rsid w:val="00822064"/>
    <w:pPr>
      <w:widowControl/>
      <w:autoSpaceDE/>
      <w:autoSpaceDN/>
      <w:adjustRightInd/>
    </w:pPr>
    <w:rPr>
      <w:rFonts w:eastAsiaTheme="minorEastAsia" w:cstheme="minorBidi"/>
      <w:sz w:val="24"/>
    </w:rPr>
  </w:style>
  <w:style w:type="paragraph" w:customStyle="1" w:styleId="TitleNoTOC">
    <w:name w:val="Title (No TOC)"/>
    <w:basedOn w:val="TitleRoot"/>
    <w:next w:val="BodyText"/>
    <w:link w:val="TitleNoTOCChar"/>
    <w:rsid w:val="00822064"/>
  </w:style>
  <w:style w:type="character" w:customStyle="1" w:styleId="TitleNoTOCChar">
    <w:name w:val="Title (No TOC) Char"/>
    <w:basedOn w:val="DefaultParagraphFont"/>
    <w:link w:val="TitleNoTOC"/>
    <w:rsid w:val="00822064"/>
    <w:rPr>
      <w:rFonts w:ascii="Times New Roman" w:eastAsiaTheme="minorEastAsia" w:hAnsi="Times New Roman"/>
      <w:b/>
      <w:sz w:val="24"/>
      <w:szCs w:val="24"/>
    </w:rPr>
  </w:style>
  <w:style w:type="character" w:customStyle="1" w:styleId="BodyTextDblChar">
    <w:name w:val="Body Text Dbl Char"/>
    <w:basedOn w:val="DefaultParagraphFont"/>
    <w:link w:val="BodyTextDbl"/>
    <w:rsid w:val="00822064"/>
    <w:rPr>
      <w:rFonts w:ascii="Times New Roman" w:eastAsiaTheme="minorEastAsia" w:hAnsi="Times New Roman"/>
      <w:sz w:val="24"/>
      <w:szCs w:val="24"/>
    </w:rPr>
  </w:style>
  <w:style w:type="character" w:customStyle="1" w:styleId="BodyTextDblFirst5Char">
    <w:name w:val="Body Text Dbl First .5 Char"/>
    <w:basedOn w:val="DefaultParagraphFont"/>
    <w:link w:val="BodyTextDblFirst5"/>
    <w:rsid w:val="00822064"/>
    <w:rPr>
      <w:rFonts w:ascii="Times New Roman" w:eastAsiaTheme="minorEastAsia" w:hAnsi="Times New Roman"/>
      <w:sz w:val="24"/>
      <w:szCs w:val="24"/>
    </w:rPr>
  </w:style>
  <w:style w:type="character" w:customStyle="1" w:styleId="BodyTextFirst5Char">
    <w:name w:val="Body Text First .5 Char"/>
    <w:basedOn w:val="DefaultParagraphFont"/>
    <w:link w:val="BodyTextFirst5"/>
    <w:rsid w:val="00822064"/>
    <w:rPr>
      <w:rFonts w:ascii="Times New Roman" w:eastAsiaTheme="minorEastAsia" w:hAnsi="Times New Roman"/>
      <w:sz w:val="24"/>
      <w:szCs w:val="24"/>
    </w:rPr>
  </w:style>
  <w:style w:type="character" w:customStyle="1" w:styleId="BlockTextChar">
    <w:name w:val="Block Text Char"/>
    <w:basedOn w:val="DefaultParagraphFont"/>
    <w:link w:val="BlockText"/>
    <w:rsid w:val="00822064"/>
    <w:rPr>
      <w:rFonts w:ascii="Times New Roman" w:eastAsiaTheme="minorEastAsia" w:hAnsi="Times New Roman"/>
      <w:iCs/>
      <w:sz w:val="24"/>
      <w:szCs w:val="24"/>
    </w:rPr>
  </w:style>
  <w:style w:type="paragraph" w:customStyle="1" w:styleId="BodyTextExact12pts">
    <w:name w:val="Body Text Exact 12pts"/>
    <w:basedOn w:val="Normal"/>
    <w:link w:val="BodyTextExact12ptsChar"/>
    <w:rsid w:val="00822064"/>
    <w:pPr>
      <w:widowControl/>
      <w:autoSpaceDE/>
      <w:autoSpaceDN/>
      <w:adjustRightInd/>
      <w:spacing w:line="240" w:lineRule="exact"/>
    </w:pPr>
    <w:rPr>
      <w:rFonts w:eastAsiaTheme="minorEastAsia" w:cstheme="minorBidi"/>
      <w:sz w:val="24"/>
    </w:rPr>
  </w:style>
  <w:style w:type="paragraph" w:customStyle="1" w:styleId="BodyTextExact24pts">
    <w:name w:val="Body Text Exact 24pts"/>
    <w:basedOn w:val="Normal"/>
    <w:link w:val="BodyTextExact24ptsChar"/>
    <w:rsid w:val="00822064"/>
    <w:pPr>
      <w:widowControl/>
      <w:autoSpaceDE/>
      <w:autoSpaceDN/>
      <w:adjustRightInd/>
      <w:spacing w:line="480" w:lineRule="exact"/>
    </w:pPr>
    <w:rPr>
      <w:rFonts w:eastAsiaTheme="minorEastAsia" w:cstheme="minorBidi"/>
      <w:sz w:val="24"/>
    </w:rPr>
  </w:style>
  <w:style w:type="character" w:customStyle="1" w:styleId="BodyTextExact12ptsChar">
    <w:name w:val="Body Text Exact 12pts Char"/>
    <w:basedOn w:val="DefaultParagraphFont"/>
    <w:link w:val="BodyTextExact12pts"/>
    <w:rsid w:val="00822064"/>
    <w:rPr>
      <w:rFonts w:ascii="Times New Roman" w:eastAsiaTheme="minorEastAsia" w:hAnsi="Times New Roman"/>
      <w:sz w:val="24"/>
      <w:szCs w:val="24"/>
    </w:rPr>
  </w:style>
  <w:style w:type="paragraph" w:customStyle="1" w:styleId="TitleAppendix">
    <w:name w:val="Title Appendix"/>
    <w:basedOn w:val="TitleRoot"/>
    <w:next w:val="BodyText"/>
    <w:link w:val="TitleAppendixChar"/>
    <w:rsid w:val="00822064"/>
  </w:style>
  <w:style w:type="character" w:customStyle="1" w:styleId="BodyTextExact24ptsChar">
    <w:name w:val="Body Text Exact 24pts Char"/>
    <w:basedOn w:val="DefaultParagraphFont"/>
    <w:link w:val="BodyTextExact24pts"/>
    <w:rsid w:val="00822064"/>
    <w:rPr>
      <w:rFonts w:ascii="Times New Roman" w:eastAsiaTheme="minorEastAsia" w:hAnsi="Times New Roman"/>
      <w:sz w:val="24"/>
      <w:szCs w:val="24"/>
    </w:rPr>
  </w:style>
  <w:style w:type="character" w:customStyle="1" w:styleId="TitleAppendixChar">
    <w:name w:val="Title Appendix Char"/>
    <w:basedOn w:val="DefaultParagraphFont"/>
    <w:link w:val="TitleAppendix"/>
    <w:rsid w:val="00822064"/>
    <w:rPr>
      <w:rFonts w:ascii="Times New Roman" w:eastAsiaTheme="minorEastAsia" w:hAnsi="Times New Roman"/>
      <w:b/>
      <w:sz w:val="24"/>
      <w:szCs w:val="24"/>
    </w:rPr>
  </w:style>
  <w:style w:type="paragraph" w:customStyle="1" w:styleId="TitleDocument">
    <w:name w:val="Title Document"/>
    <w:basedOn w:val="TitleRoot"/>
    <w:next w:val="BodyText"/>
    <w:qFormat/>
    <w:rsid w:val="00822064"/>
  </w:style>
  <w:style w:type="paragraph" w:customStyle="1" w:styleId="TitleExhibit">
    <w:name w:val="Title Exhibit"/>
    <w:basedOn w:val="TitleRoot"/>
    <w:next w:val="BodyText"/>
    <w:link w:val="TitleExhibitChar"/>
    <w:rsid w:val="00822064"/>
  </w:style>
  <w:style w:type="paragraph" w:customStyle="1" w:styleId="TitleIndex">
    <w:name w:val="Title Index"/>
    <w:basedOn w:val="TitleRoot"/>
    <w:next w:val="BodyText"/>
    <w:link w:val="TitleIndexChar"/>
    <w:rsid w:val="00822064"/>
  </w:style>
  <w:style w:type="paragraph" w:customStyle="1" w:styleId="TitleSchedule">
    <w:name w:val="Title Schedule"/>
    <w:basedOn w:val="TitleRoot"/>
    <w:next w:val="BodyText"/>
    <w:link w:val="TitleScheduleChar"/>
    <w:rsid w:val="00822064"/>
  </w:style>
  <w:style w:type="character" w:customStyle="1" w:styleId="TitleIndexChar">
    <w:name w:val="Title Index Char"/>
    <w:basedOn w:val="DefaultParagraphFont"/>
    <w:link w:val="TitleIndex"/>
    <w:rsid w:val="00822064"/>
    <w:rPr>
      <w:rFonts w:ascii="Times New Roman" w:eastAsiaTheme="minorEastAsia" w:hAnsi="Times New Roman"/>
      <w:b/>
      <w:sz w:val="24"/>
      <w:szCs w:val="24"/>
    </w:rPr>
  </w:style>
  <w:style w:type="character" w:customStyle="1" w:styleId="TitleScheduleChar">
    <w:name w:val="Title Schedule Char"/>
    <w:basedOn w:val="BodyTextChar"/>
    <w:link w:val="TitleSchedule"/>
    <w:rsid w:val="00822064"/>
    <w:rPr>
      <w:rFonts w:ascii="Times New Roman" w:eastAsiaTheme="minorEastAsia" w:hAnsi="Times New Roman"/>
      <w:b/>
      <w:sz w:val="24"/>
      <w:szCs w:val="24"/>
    </w:rPr>
  </w:style>
  <w:style w:type="character" w:customStyle="1" w:styleId="TitleExhibitChar">
    <w:name w:val="Title Exhibit Char"/>
    <w:basedOn w:val="BodyTextChar"/>
    <w:link w:val="TitleExhibit"/>
    <w:rsid w:val="00822064"/>
    <w:rPr>
      <w:rFonts w:ascii="Times New Roman" w:eastAsiaTheme="minorEastAsia" w:hAnsi="Times New Roman"/>
      <w:b/>
      <w:sz w:val="24"/>
      <w:szCs w:val="24"/>
    </w:rPr>
  </w:style>
  <w:style w:type="paragraph" w:customStyle="1" w:styleId="TitleTOC">
    <w:name w:val="Title TOC"/>
    <w:basedOn w:val="TitleRoot"/>
    <w:next w:val="BodyText"/>
    <w:qFormat/>
    <w:rsid w:val="00822064"/>
  </w:style>
  <w:style w:type="paragraph" w:customStyle="1" w:styleId="TitleTOCPage">
    <w:name w:val="Title TOC Page"/>
    <w:basedOn w:val="TitleRoot"/>
    <w:rsid w:val="00822064"/>
    <w:pPr>
      <w:spacing w:after="240"/>
      <w:jc w:val="right"/>
    </w:pPr>
    <w:rPr>
      <w:u w:val="single"/>
    </w:rPr>
  </w:style>
  <w:style w:type="paragraph" w:customStyle="1" w:styleId="Via">
    <w:name w:val="Via"/>
    <w:basedOn w:val="Normal"/>
    <w:rsid w:val="00822064"/>
    <w:pPr>
      <w:widowControl/>
      <w:autoSpaceDE/>
      <w:autoSpaceDN/>
      <w:adjustRightInd/>
    </w:pPr>
    <w:rPr>
      <w:rFonts w:eastAsiaTheme="minorEastAsia" w:cstheme="minorBidi"/>
      <w:sz w:val="24"/>
    </w:rPr>
  </w:style>
  <w:style w:type="character" w:customStyle="1" w:styleId="PrivacyChar">
    <w:name w:val="Privacy Char"/>
    <w:basedOn w:val="DefaultParagraphFont"/>
    <w:link w:val="Privacy"/>
    <w:rsid w:val="00822064"/>
    <w:rPr>
      <w:rFonts w:ascii="Times New Roman" w:eastAsiaTheme="minorEastAsia" w:hAnsi="Times New Roman"/>
      <w:color w:val="FF0000"/>
      <w:sz w:val="24"/>
      <w:szCs w:val="24"/>
    </w:rPr>
  </w:style>
  <w:style w:type="paragraph" w:styleId="TOAHeading">
    <w:name w:val="toa heading"/>
    <w:basedOn w:val="Normal"/>
    <w:next w:val="Normal"/>
    <w:uiPriority w:val="99"/>
    <w:semiHidden/>
    <w:rsid w:val="00822064"/>
    <w:pPr>
      <w:keepNext/>
      <w:keepLines/>
      <w:widowControl/>
      <w:autoSpaceDE/>
      <w:autoSpaceDN/>
      <w:adjustRightInd/>
      <w:spacing w:after="480"/>
    </w:pPr>
    <w:rPr>
      <w:b/>
      <w:bCs/>
      <w:sz w:val="24"/>
    </w:rPr>
  </w:style>
  <w:style w:type="paragraph" w:customStyle="1" w:styleId="TitleRoot">
    <w:name w:val="Title Root"/>
    <w:basedOn w:val="Normal"/>
    <w:next w:val="BodyText"/>
    <w:uiPriority w:val="49"/>
    <w:semiHidden/>
    <w:rsid w:val="00822064"/>
    <w:pPr>
      <w:keepNext/>
      <w:keepLines/>
      <w:widowControl/>
      <w:autoSpaceDE/>
      <w:autoSpaceDN/>
      <w:adjustRightInd/>
      <w:spacing w:after="480"/>
      <w:jc w:val="center"/>
    </w:pPr>
    <w:rPr>
      <w:rFonts w:eastAsiaTheme="minorEastAsia" w:cstheme="minorBidi"/>
      <w:b/>
      <w:sz w:val="24"/>
    </w:rPr>
  </w:style>
  <w:style w:type="paragraph" w:customStyle="1" w:styleId="Heading1noTOC">
    <w:name w:val="Heading 1 (no TOC)"/>
    <w:basedOn w:val="Heading1"/>
    <w:next w:val="BodyText"/>
    <w:link w:val="Heading1noTOCChar"/>
    <w:uiPriority w:val="49"/>
    <w:semiHidden/>
    <w:unhideWhenUsed/>
    <w:qFormat/>
    <w:rsid w:val="00822064"/>
    <w:rPr>
      <w:b w:val="0"/>
    </w:rPr>
  </w:style>
  <w:style w:type="character" w:customStyle="1" w:styleId="Heading1noTOCChar">
    <w:name w:val="Heading 1 (no TOC) Char"/>
    <w:basedOn w:val="Heading1Char"/>
    <w:link w:val="Heading1noTOC"/>
    <w:uiPriority w:val="49"/>
    <w:semiHidden/>
    <w:rsid w:val="00822064"/>
    <w:rPr>
      <w:rFonts w:ascii="Times New Roman" w:eastAsia="Times New Roman" w:hAnsi="Times New Roman" w:cs="Times New Roman"/>
      <w:b w:val="0"/>
      <w:bCs/>
      <w:caps/>
      <w:sz w:val="24"/>
      <w:szCs w:val="28"/>
      <w:u w:val="single"/>
    </w:rPr>
  </w:style>
  <w:style w:type="paragraph" w:customStyle="1" w:styleId="Heading2noTOC">
    <w:name w:val="Heading 2 (no TOC)"/>
    <w:basedOn w:val="Heading2"/>
    <w:next w:val="BodyText"/>
    <w:link w:val="Heading2noTOCChar"/>
    <w:uiPriority w:val="49"/>
    <w:semiHidden/>
    <w:unhideWhenUsed/>
    <w:qFormat/>
    <w:rsid w:val="00822064"/>
    <w:rPr>
      <w:b w:val="0"/>
    </w:rPr>
  </w:style>
  <w:style w:type="character" w:customStyle="1" w:styleId="Heading2noTOCChar">
    <w:name w:val="Heading 2 (no TOC) Char"/>
    <w:basedOn w:val="Heading2Char"/>
    <w:link w:val="Heading2noTOC"/>
    <w:uiPriority w:val="49"/>
    <w:semiHidden/>
    <w:rsid w:val="00822064"/>
    <w:rPr>
      <w:rFonts w:ascii="Times New Roman" w:eastAsia="Times New Roman" w:hAnsi="Times New Roman" w:cs="Times New Roman"/>
      <w:b w:val="0"/>
      <w:bCs/>
      <w:sz w:val="24"/>
      <w:szCs w:val="26"/>
      <w:u w:val="single"/>
    </w:rPr>
  </w:style>
  <w:style w:type="paragraph" w:customStyle="1" w:styleId="Heading3noTOC">
    <w:name w:val="Heading 3 (no TOC)"/>
    <w:basedOn w:val="Heading3"/>
    <w:next w:val="BodyText"/>
    <w:link w:val="Heading3noTOCChar"/>
    <w:uiPriority w:val="49"/>
    <w:semiHidden/>
    <w:unhideWhenUsed/>
    <w:qFormat/>
    <w:rsid w:val="00822064"/>
    <w:rPr>
      <w:b/>
    </w:rPr>
  </w:style>
  <w:style w:type="character" w:customStyle="1" w:styleId="Heading3noTOCChar">
    <w:name w:val="Heading 3 (no TOC) Char"/>
    <w:basedOn w:val="Heading3Char"/>
    <w:link w:val="Heading3noTOC"/>
    <w:uiPriority w:val="49"/>
    <w:semiHidden/>
    <w:rsid w:val="00822064"/>
    <w:rPr>
      <w:rFonts w:ascii="Times New Roman" w:eastAsia="Times New Roman" w:hAnsi="Times New Roman" w:cs="Times New Roman"/>
      <w:b/>
      <w:bCs/>
      <w:sz w:val="24"/>
      <w:szCs w:val="24"/>
    </w:rPr>
  </w:style>
  <w:style w:type="paragraph" w:customStyle="1" w:styleId="Heading4noTOC">
    <w:name w:val="Heading 4 (no TOC)"/>
    <w:basedOn w:val="Heading4"/>
    <w:next w:val="BodyText"/>
    <w:link w:val="Heading4noTOCChar"/>
    <w:uiPriority w:val="49"/>
    <w:semiHidden/>
    <w:unhideWhenUsed/>
    <w:qFormat/>
    <w:rsid w:val="00822064"/>
  </w:style>
  <w:style w:type="character" w:customStyle="1" w:styleId="Heading4noTOCChar">
    <w:name w:val="Heading 4 (no TOC) Char"/>
    <w:basedOn w:val="Heading4Char"/>
    <w:link w:val="Heading4noTOC"/>
    <w:uiPriority w:val="49"/>
    <w:semiHidden/>
    <w:rsid w:val="00822064"/>
    <w:rPr>
      <w:rFonts w:ascii="Times New Roman" w:eastAsia="Times New Roman" w:hAnsi="Times New Roman" w:cs="Times New Roman"/>
      <w:bCs/>
      <w:iCs/>
      <w:sz w:val="24"/>
      <w:szCs w:val="24"/>
    </w:rPr>
  </w:style>
  <w:style w:type="paragraph" w:customStyle="1" w:styleId="TableSpacer">
    <w:name w:val="Table Spacer"/>
    <w:basedOn w:val="Normal"/>
    <w:next w:val="BodyText"/>
    <w:uiPriority w:val="19"/>
    <w:qFormat/>
    <w:rsid w:val="00822064"/>
    <w:pPr>
      <w:widowControl/>
      <w:autoSpaceDE/>
      <w:autoSpaceDN/>
      <w:adjustRightInd/>
      <w:spacing w:after="240"/>
    </w:pPr>
    <w:rPr>
      <w:rFonts w:eastAsiaTheme="minorEastAsia" w:cstheme="minorBidi"/>
      <w:sz w:val="2"/>
    </w:rPr>
  </w:style>
  <w:style w:type="paragraph" w:customStyle="1" w:styleId="DWListNumber">
    <w:name w:val="DW List Number"/>
    <w:basedOn w:val="Normal"/>
    <w:uiPriority w:val="9"/>
    <w:qFormat/>
    <w:rsid w:val="00822064"/>
    <w:pPr>
      <w:widowControl/>
      <w:numPr>
        <w:numId w:val="4"/>
      </w:numPr>
      <w:autoSpaceDE/>
      <w:autoSpaceDN/>
      <w:adjustRightInd/>
      <w:spacing w:after="240"/>
      <w:ind w:left="0" w:firstLine="0"/>
    </w:pPr>
    <w:rPr>
      <w:rFonts w:eastAsiaTheme="minorEastAsia" w:cstheme="minorBidi"/>
      <w:sz w:val="24"/>
    </w:rPr>
  </w:style>
  <w:style w:type="numbering" w:customStyle="1" w:styleId="DWNumber">
    <w:name w:val="DW Number"/>
    <w:basedOn w:val="NoList"/>
    <w:uiPriority w:val="99"/>
    <w:rsid w:val="00822064"/>
    <w:pPr>
      <w:numPr>
        <w:numId w:val="4"/>
      </w:numPr>
    </w:pPr>
  </w:style>
  <w:style w:type="paragraph" w:customStyle="1" w:styleId="DWListBullet">
    <w:name w:val="DW List Bullet"/>
    <w:basedOn w:val="Normal"/>
    <w:uiPriority w:val="9"/>
    <w:qFormat/>
    <w:rsid w:val="00822064"/>
    <w:pPr>
      <w:widowControl/>
      <w:numPr>
        <w:numId w:val="5"/>
      </w:numPr>
      <w:autoSpaceDE/>
      <w:autoSpaceDN/>
      <w:adjustRightInd/>
      <w:spacing w:after="240"/>
      <w:ind w:left="0" w:firstLine="0"/>
    </w:pPr>
    <w:rPr>
      <w:rFonts w:eastAsiaTheme="minorEastAsia" w:cstheme="minorBidi"/>
      <w:sz w:val="24"/>
    </w:rPr>
  </w:style>
  <w:style w:type="numbering" w:customStyle="1" w:styleId="DWBullet">
    <w:name w:val="DW Bullet"/>
    <w:basedOn w:val="NoList"/>
    <w:uiPriority w:val="99"/>
    <w:rsid w:val="00822064"/>
    <w:pPr>
      <w:numPr>
        <w:numId w:val="5"/>
      </w:numPr>
    </w:pPr>
  </w:style>
  <w:style w:type="numbering" w:customStyle="1" w:styleId="ListBull2">
    <w:name w:val="List Bull 2"/>
    <w:basedOn w:val="NoList"/>
    <w:uiPriority w:val="99"/>
    <w:rsid w:val="00822064"/>
    <w:pPr>
      <w:numPr>
        <w:numId w:val="6"/>
      </w:numPr>
    </w:pPr>
  </w:style>
  <w:style w:type="numbering" w:customStyle="1" w:styleId="ListBull3">
    <w:name w:val="List Bull 3"/>
    <w:basedOn w:val="NoList"/>
    <w:uiPriority w:val="99"/>
    <w:rsid w:val="00822064"/>
    <w:pPr>
      <w:numPr>
        <w:numId w:val="7"/>
      </w:numPr>
    </w:pPr>
  </w:style>
  <w:style w:type="numbering" w:customStyle="1" w:styleId="ListBull4">
    <w:name w:val="List Bull 4"/>
    <w:basedOn w:val="NoList"/>
    <w:uiPriority w:val="99"/>
    <w:rsid w:val="00822064"/>
    <w:pPr>
      <w:numPr>
        <w:numId w:val="8"/>
      </w:numPr>
    </w:pPr>
  </w:style>
  <w:style w:type="numbering" w:customStyle="1" w:styleId="ListBull5">
    <w:name w:val="List Bull 5"/>
    <w:basedOn w:val="NoList"/>
    <w:uiPriority w:val="99"/>
    <w:rsid w:val="00822064"/>
    <w:pPr>
      <w:numPr>
        <w:numId w:val="9"/>
      </w:numPr>
    </w:pPr>
  </w:style>
  <w:style w:type="numbering" w:customStyle="1" w:styleId="ListNum2">
    <w:name w:val="List Num 2"/>
    <w:basedOn w:val="NoList"/>
    <w:uiPriority w:val="99"/>
    <w:rsid w:val="00822064"/>
    <w:pPr>
      <w:numPr>
        <w:numId w:val="10"/>
      </w:numPr>
    </w:pPr>
  </w:style>
  <w:style w:type="numbering" w:customStyle="1" w:styleId="ListNum3">
    <w:name w:val="List Num 3"/>
    <w:basedOn w:val="NoList"/>
    <w:uiPriority w:val="99"/>
    <w:rsid w:val="00822064"/>
    <w:pPr>
      <w:numPr>
        <w:numId w:val="11"/>
      </w:numPr>
    </w:pPr>
  </w:style>
  <w:style w:type="numbering" w:customStyle="1" w:styleId="ListNum4">
    <w:name w:val="List Num 4"/>
    <w:basedOn w:val="NoList"/>
    <w:uiPriority w:val="99"/>
    <w:rsid w:val="00822064"/>
    <w:pPr>
      <w:numPr>
        <w:numId w:val="12"/>
      </w:numPr>
    </w:pPr>
  </w:style>
  <w:style w:type="numbering" w:customStyle="1" w:styleId="ListNum5">
    <w:name w:val="List Num 5"/>
    <w:basedOn w:val="NoList"/>
    <w:uiPriority w:val="99"/>
    <w:rsid w:val="00822064"/>
    <w:pPr>
      <w:numPr>
        <w:numId w:val="13"/>
      </w:numPr>
    </w:pPr>
  </w:style>
  <w:style w:type="paragraph" w:customStyle="1" w:styleId="Para1">
    <w:name w:val="Para1"/>
    <w:basedOn w:val="Normal"/>
    <w:next w:val="Heading1"/>
    <w:link w:val="Para1Char"/>
    <w:semiHidden/>
    <w:rsid w:val="00822064"/>
    <w:pPr>
      <w:widowControl/>
      <w:autoSpaceDE/>
      <w:autoSpaceDN/>
      <w:adjustRightInd/>
      <w:spacing w:after="240"/>
    </w:pPr>
    <w:rPr>
      <w:rFonts w:eastAsiaTheme="minorEastAsia" w:cstheme="minorBidi"/>
      <w:sz w:val="24"/>
    </w:rPr>
  </w:style>
  <w:style w:type="character" w:customStyle="1" w:styleId="Para1Char">
    <w:name w:val="Para1 Char"/>
    <w:basedOn w:val="DefaultParagraphFont"/>
    <w:link w:val="Para1"/>
    <w:semiHidden/>
    <w:rsid w:val="00822064"/>
    <w:rPr>
      <w:rFonts w:ascii="Times New Roman" w:eastAsiaTheme="minorEastAsia" w:hAnsi="Times New Roman"/>
      <w:sz w:val="24"/>
      <w:szCs w:val="24"/>
    </w:rPr>
  </w:style>
  <w:style w:type="paragraph" w:styleId="TOC2">
    <w:name w:val="toc 2"/>
    <w:basedOn w:val="Normal"/>
    <w:next w:val="Normal"/>
    <w:autoRedefine/>
    <w:uiPriority w:val="39"/>
    <w:unhideWhenUsed/>
    <w:rsid w:val="00822064"/>
    <w:pPr>
      <w:widowControl/>
      <w:tabs>
        <w:tab w:val="left" w:pos="1440"/>
        <w:tab w:val="right" w:leader="dot" w:pos="9360"/>
      </w:tabs>
      <w:autoSpaceDE/>
      <w:autoSpaceDN/>
      <w:adjustRightInd/>
      <w:spacing w:after="240"/>
      <w:ind w:left="1440" w:right="720" w:hanging="720"/>
    </w:pPr>
    <w:rPr>
      <w:rFonts w:eastAsiaTheme="minorEastAsia" w:cstheme="minorBidi"/>
      <w:noProof/>
      <w:sz w:val="24"/>
    </w:rPr>
  </w:style>
  <w:style w:type="paragraph" w:customStyle="1" w:styleId="Para2">
    <w:name w:val="Para2"/>
    <w:basedOn w:val="Normal"/>
    <w:next w:val="Heading2"/>
    <w:link w:val="Para2Char"/>
    <w:semiHidden/>
    <w:rsid w:val="00822064"/>
    <w:pPr>
      <w:widowControl/>
      <w:autoSpaceDE/>
      <w:autoSpaceDN/>
      <w:adjustRightInd/>
      <w:spacing w:after="240"/>
      <w:ind w:firstLine="720"/>
    </w:pPr>
    <w:rPr>
      <w:rFonts w:eastAsiaTheme="minorEastAsia" w:cstheme="minorBidi"/>
      <w:sz w:val="24"/>
    </w:rPr>
  </w:style>
  <w:style w:type="character" w:customStyle="1" w:styleId="Para2Char">
    <w:name w:val="Para2 Char"/>
    <w:basedOn w:val="DefaultParagraphFont"/>
    <w:link w:val="Para2"/>
    <w:semiHidden/>
    <w:rsid w:val="00822064"/>
    <w:rPr>
      <w:rFonts w:ascii="Times New Roman" w:eastAsiaTheme="minorEastAsia" w:hAnsi="Times New Roman"/>
      <w:sz w:val="24"/>
      <w:szCs w:val="24"/>
    </w:rPr>
  </w:style>
  <w:style w:type="paragraph" w:customStyle="1" w:styleId="Para3">
    <w:name w:val="Para3"/>
    <w:basedOn w:val="Normal"/>
    <w:next w:val="Heading3"/>
    <w:link w:val="Para3Char"/>
    <w:semiHidden/>
    <w:rsid w:val="00822064"/>
    <w:pPr>
      <w:widowControl/>
      <w:autoSpaceDE/>
      <w:autoSpaceDN/>
      <w:adjustRightInd/>
      <w:spacing w:after="240"/>
      <w:ind w:left="720" w:firstLine="720"/>
    </w:pPr>
    <w:rPr>
      <w:rFonts w:eastAsiaTheme="minorEastAsia" w:cstheme="minorBidi"/>
      <w:sz w:val="24"/>
    </w:rPr>
  </w:style>
  <w:style w:type="character" w:customStyle="1" w:styleId="Para3Char">
    <w:name w:val="Para3 Char"/>
    <w:basedOn w:val="DefaultParagraphFont"/>
    <w:link w:val="Para3"/>
    <w:semiHidden/>
    <w:rsid w:val="00822064"/>
    <w:rPr>
      <w:rFonts w:ascii="Times New Roman" w:eastAsiaTheme="minorEastAsia" w:hAnsi="Times New Roman"/>
      <w:sz w:val="24"/>
      <w:szCs w:val="24"/>
    </w:rPr>
  </w:style>
  <w:style w:type="paragraph" w:customStyle="1" w:styleId="Para4">
    <w:name w:val="Para4"/>
    <w:basedOn w:val="Normal"/>
    <w:next w:val="Heading4"/>
    <w:link w:val="Para4Char"/>
    <w:semiHidden/>
    <w:rsid w:val="00822064"/>
    <w:pPr>
      <w:widowControl/>
      <w:autoSpaceDE/>
      <w:autoSpaceDN/>
      <w:adjustRightInd/>
      <w:spacing w:after="240"/>
      <w:ind w:left="1440" w:firstLine="720"/>
    </w:pPr>
    <w:rPr>
      <w:rFonts w:eastAsiaTheme="minorEastAsia" w:cstheme="minorBidi"/>
      <w:sz w:val="24"/>
    </w:rPr>
  </w:style>
  <w:style w:type="character" w:customStyle="1" w:styleId="Para4Char">
    <w:name w:val="Para4 Char"/>
    <w:basedOn w:val="DefaultParagraphFont"/>
    <w:link w:val="Para4"/>
    <w:semiHidden/>
    <w:rsid w:val="00822064"/>
    <w:rPr>
      <w:rFonts w:ascii="Times New Roman" w:eastAsiaTheme="minorEastAsia" w:hAnsi="Times New Roman"/>
      <w:sz w:val="24"/>
      <w:szCs w:val="24"/>
    </w:rPr>
  </w:style>
  <w:style w:type="paragraph" w:customStyle="1" w:styleId="Para5">
    <w:name w:val="Para5"/>
    <w:basedOn w:val="Normal"/>
    <w:next w:val="Heading5"/>
    <w:link w:val="Para5Char"/>
    <w:semiHidden/>
    <w:rsid w:val="00822064"/>
    <w:pPr>
      <w:widowControl/>
      <w:autoSpaceDE/>
      <w:autoSpaceDN/>
      <w:adjustRightInd/>
      <w:spacing w:after="240"/>
      <w:ind w:left="2160" w:firstLine="720"/>
    </w:pPr>
    <w:rPr>
      <w:rFonts w:eastAsiaTheme="minorEastAsia" w:cstheme="minorBidi"/>
      <w:sz w:val="24"/>
    </w:rPr>
  </w:style>
  <w:style w:type="character" w:customStyle="1" w:styleId="Para5Char">
    <w:name w:val="Para5 Char"/>
    <w:basedOn w:val="DefaultParagraphFont"/>
    <w:link w:val="Para5"/>
    <w:semiHidden/>
    <w:rsid w:val="00822064"/>
    <w:rPr>
      <w:rFonts w:ascii="Times New Roman" w:eastAsiaTheme="minorEastAsia" w:hAnsi="Times New Roman"/>
      <w:sz w:val="24"/>
      <w:szCs w:val="24"/>
    </w:rPr>
  </w:style>
  <w:style w:type="paragraph" w:styleId="TOC3">
    <w:name w:val="toc 3"/>
    <w:basedOn w:val="Normal"/>
    <w:next w:val="Normal"/>
    <w:autoRedefine/>
    <w:uiPriority w:val="39"/>
    <w:unhideWhenUsed/>
    <w:rsid w:val="00822064"/>
    <w:pPr>
      <w:widowControl/>
      <w:tabs>
        <w:tab w:val="right" w:leader="dot" w:pos="9360"/>
      </w:tabs>
      <w:autoSpaceDE/>
      <w:autoSpaceDN/>
      <w:adjustRightInd/>
      <w:spacing w:after="240"/>
      <w:ind w:left="2160" w:right="720" w:hanging="720"/>
    </w:pPr>
    <w:rPr>
      <w:rFonts w:eastAsiaTheme="minorEastAsia" w:cstheme="minorBidi"/>
      <w:noProof/>
      <w:sz w:val="24"/>
    </w:rPr>
  </w:style>
  <w:style w:type="paragraph" w:styleId="TOC4">
    <w:name w:val="toc 4"/>
    <w:basedOn w:val="Normal"/>
    <w:next w:val="Normal"/>
    <w:autoRedefine/>
    <w:uiPriority w:val="39"/>
    <w:unhideWhenUsed/>
    <w:rsid w:val="00822064"/>
    <w:pPr>
      <w:widowControl/>
      <w:tabs>
        <w:tab w:val="left" w:pos="2880"/>
        <w:tab w:val="right" w:leader="dot" w:pos="9350"/>
      </w:tabs>
      <w:autoSpaceDE/>
      <w:autoSpaceDN/>
      <w:adjustRightInd/>
      <w:spacing w:after="240"/>
      <w:ind w:left="2880" w:right="720" w:hanging="720"/>
    </w:pPr>
    <w:rPr>
      <w:rFonts w:eastAsiaTheme="minorEastAsia" w:cstheme="minorBidi"/>
      <w:noProof/>
      <w:sz w:val="24"/>
    </w:rPr>
  </w:style>
  <w:style w:type="paragraph" w:customStyle="1" w:styleId="Para9">
    <w:name w:val="Para9"/>
    <w:basedOn w:val="Normal"/>
    <w:next w:val="Heading9"/>
    <w:link w:val="Para9Char"/>
    <w:semiHidden/>
    <w:rsid w:val="00822064"/>
    <w:pPr>
      <w:widowControl/>
      <w:autoSpaceDE/>
      <w:autoSpaceDN/>
      <w:adjustRightInd/>
      <w:spacing w:after="240"/>
      <w:ind w:left="5040" w:firstLine="720"/>
    </w:pPr>
    <w:rPr>
      <w:rFonts w:eastAsiaTheme="minorEastAsia" w:cstheme="minorBidi"/>
      <w:sz w:val="24"/>
    </w:rPr>
  </w:style>
  <w:style w:type="character" w:customStyle="1" w:styleId="Para9Char">
    <w:name w:val="Para9 Char"/>
    <w:basedOn w:val="DefaultParagraphFont"/>
    <w:link w:val="Para9"/>
    <w:semiHidden/>
    <w:rsid w:val="00822064"/>
    <w:rPr>
      <w:rFonts w:ascii="Times New Roman" w:eastAsiaTheme="minorEastAsia" w:hAnsi="Times New Roman"/>
      <w:sz w:val="24"/>
      <w:szCs w:val="24"/>
    </w:rPr>
  </w:style>
  <w:style w:type="paragraph" w:customStyle="1" w:styleId="Para8">
    <w:name w:val="Para8"/>
    <w:basedOn w:val="Normal"/>
    <w:next w:val="Heading8"/>
    <w:link w:val="Para8Char"/>
    <w:semiHidden/>
    <w:rsid w:val="00822064"/>
    <w:pPr>
      <w:widowControl/>
      <w:autoSpaceDE/>
      <w:autoSpaceDN/>
      <w:adjustRightInd/>
      <w:spacing w:after="240"/>
      <w:ind w:left="4320" w:firstLine="720"/>
    </w:pPr>
    <w:rPr>
      <w:rFonts w:eastAsiaTheme="minorEastAsia" w:cstheme="minorBidi"/>
      <w:sz w:val="24"/>
    </w:rPr>
  </w:style>
  <w:style w:type="character" w:customStyle="1" w:styleId="Para8Char">
    <w:name w:val="Para8 Char"/>
    <w:basedOn w:val="DefaultParagraphFont"/>
    <w:link w:val="Para8"/>
    <w:semiHidden/>
    <w:rsid w:val="00822064"/>
    <w:rPr>
      <w:rFonts w:ascii="Times New Roman" w:eastAsiaTheme="minorEastAsia" w:hAnsi="Times New Roman"/>
      <w:sz w:val="24"/>
      <w:szCs w:val="24"/>
    </w:rPr>
  </w:style>
  <w:style w:type="paragraph" w:customStyle="1" w:styleId="Para7">
    <w:name w:val="Para7"/>
    <w:basedOn w:val="Normal"/>
    <w:next w:val="Heading7"/>
    <w:link w:val="Para7Char"/>
    <w:semiHidden/>
    <w:rsid w:val="00822064"/>
    <w:pPr>
      <w:widowControl/>
      <w:autoSpaceDE/>
      <w:autoSpaceDN/>
      <w:adjustRightInd/>
      <w:spacing w:after="240"/>
      <w:ind w:left="3600" w:firstLine="720"/>
    </w:pPr>
    <w:rPr>
      <w:rFonts w:eastAsiaTheme="minorEastAsia" w:cstheme="minorBidi"/>
      <w:sz w:val="24"/>
    </w:rPr>
  </w:style>
  <w:style w:type="character" w:customStyle="1" w:styleId="Para7Char">
    <w:name w:val="Para7 Char"/>
    <w:basedOn w:val="DefaultParagraphFont"/>
    <w:link w:val="Para7"/>
    <w:semiHidden/>
    <w:rsid w:val="00822064"/>
    <w:rPr>
      <w:rFonts w:ascii="Times New Roman" w:eastAsiaTheme="minorEastAsia" w:hAnsi="Times New Roman"/>
      <w:sz w:val="24"/>
      <w:szCs w:val="24"/>
    </w:rPr>
  </w:style>
  <w:style w:type="paragraph" w:customStyle="1" w:styleId="Para6">
    <w:name w:val="Para6"/>
    <w:basedOn w:val="Normal"/>
    <w:next w:val="Heading6"/>
    <w:link w:val="Para6Char"/>
    <w:semiHidden/>
    <w:rsid w:val="00822064"/>
    <w:pPr>
      <w:widowControl/>
      <w:autoSpaceDE/>
      <w:autoSpaceDN/>
      <w:adjustRightInd/>
      <w:spacing w:after="240"/>
      <w:ind w:left="2880" w:firstLine="720"/>
    </w:pPr>
    <w:rPr>
      <w:rFonts w:eastAsiaTheme="minorEastAsia" w:cstheme="minorBidi"/>
      <w:sz w:val="24"/>
    </w:rPr>
  </w:style>
  <w:style w:type="character" w:customStyle="1" w:styleId="Para6Char">
    <w:name w:val="Para6 Char"/>
    <w:basedOn w:val="DefaultParagraphFont"/>
    <w:link w:val="Para6"/>
    <w:semiHidden/>
    <w:rsid w:val="00822064"/>
    <w:rPr>
      <w:rFonts w:ascii="Times New Roman" w:eastAsiaTheme="minorEastAsia" w:hAnsi="Times New Roman"/>
      <w:sz w:val="24"/>
      <w:szCs w:val="24"/>
    </w:rPr>
  </w:style>
  <w:style w:type="paragraph" w:styleId="TOC5">
    <w:name w:val="toc 5"/>
    <w:basedOn w:val="Normal"/>
    <w:next w:val="Normal"/>
    <w:autoRedefine/>
    <w:uiPriority w:val="39"/>
    <w:unhideWhenUsed/>
    <w:rsid w:val="00822064"/>
    <w:pPr>
      <w:widowControl/>
      <w:tabs>
        <w:tab w:val="left" w:pos="3600"/>
        <w:tab w:val="right" w:leader="dot" w:pos="9350"/>
      </w:tabs>
      <w:autoSpaceDE/>
      <w:autoSpaceDN/>
      <w:adjustRightInd/>
      <w:spacing w:after="240"/>
      <w:ind w:left="3600" w:right="720" w:hanging="720"/>
    </w:pPr>
    <w:rPr>
      <w:rFonts w:eastAsiaTheme="minorEastAsia" w:cstheme="minorBidi"/>
      <w:noProof/>
      <w:sz w:val="24"/>
    </w:rPr>
  </w:style>
  <w:style w:type="paragraph" w:styleId="TOC6">
    <w:name w:val="toc 6"/>
    <w:basedOn w:val="Normal"/>
    <w:next w:val="Normal"/>
    <w:autoRedefine/>
    <w:uiPriority w:val="39"/>
    <w:unhideWhenUsed/>
    <w:rsid w:val="00822064"/>
    <w:pPr>
      <w:widowControl/>
      <w:tabs>
        <w:tab w:val="left" w:pos="4320"/>
        <w:tab w:val="right" w:leader="dot" w:pos="9360"/>
      </w:tabs>
      <w:autoSpaceDE/>
      <w:autoSpaceDN/>
      <w:adjustRightInd/>
      <w:spacing w:after="240"/>
      <w:ind w:left="4320" w:right="720" w:hanging="720"/>
    </w:pPr>
    <w:rPr>
      <w:rFonts w:eastAsiaTheme="minorEastAsia" w:cstheme="minorBidi"/>
      <w:noProof/>
      <w:sz w:val="24"/>
    </w:rPr>
  </w:style>
  <w:style w:type="paragraph" w:styleId="TOC7">
    <w:name w:val="toc 7"/>
    <w:basedOn w:val="Normal"/>
    <w:next w:val="Normal"/>
    <w:autoRedefine/>
    <w:uiPriority w:val="39"/>
    <w:unhideWhenUsed/>
    <w:rsid w:val="00822064"/>
    <w:pPr>
      <w:widowControl/>
      <w:tabs>
        <w:tab w:val="right" w:leader="dot" w:pos="9360"/>
      </w:tabs>
      <w:autoSpaceDE/>
      <w:autoSpaceDN/>
      <w:adjustRightInd/>
      <w:spacing w:after="240"/>
      <w:ind w:left="5040" w:right="720" w:hanging="720"/>
    </w:pPr>
    <w:rPr>
      <w:rFonts w:eastAsiaTheme="minorEastAsia" w:cstheme="minorBidi"/>
      <w:noProof/>
      <w:sz w:val="24"/>
    </w:rPr>
  </w:style>
  <w:style w:type="paragraph" w:styleId="TOC8">
    <w:name w:val="toc 8"/>
    <w:basedOn w:val="Normal"/>
    <w:next w:val="Normal"/>
    <w:autoRedefine/>
    <w:uiPriority w:val="39"/>
    <w:unhideWhenUsed/>
    <w:rsid w:val="00822064"/>
    <w:pPr>
      <w:widowControl/>
      <w:tabs>
        <w:tab w:val="right" w:leader="dot" w:pos="9360"/>
      </w:tabs>
      <w:autoSpaceDE/>
      <w:autoSpaceDN/>
      <w:adjustRightInd/>
      <w:spacing w:after="240"/>
      <w:ind w:left="5760" w:right="720" w:hanging="720"/>
    </w:pPr>
    <w:rPr>
      <w:rFonts w:eastAsiaTheme="minorEastAsia" w:cstheme="minorBidi"/>
      <w:noProof/>
      <w:sz w:val="24"/>
    </w:rPr>
  </w:style>
  <w:style w:type="paragraph" w:styleId="TOC9">
    <w:name w:val="toc 9"/>
    <w:basedOn w:val="Normal"/>
    <w:next w:val="Normal"/>
    <w:autoRedefine/>
    <w:uiPriority w:val="39"/>
    <w:unhideWhenUsed/>
    <w:rsid w:val="00822064"/>
    <w:pPr>
      <w:widowControl/>
      <w:tabs>
        <w:tab w:val="right" w:leader="dot" w:pos="9360"/>
      </w:tabs>
      <w:autoSpaceDE/>
      <w:autoSpaceDN/>
      <w:adjustRightInd/>
      <w:spacing w:after="240"/>
      <w:ind w:left="6480" w:right="720" w:hanging="720"/>
    </w:pPr>
    <w:rPr>
      <w:rFonts w:eastAsiaTheme="minorEastAsia" w:cstheme="minorBidi"/>
      <w:noProof/>
      <w:sz w:val="24"/>
    </w:rPr>
  </w:style>
  <w:style w:type="character" w:customStyle="1" w:styleId="Mention1">
    <w:name w:val="Mention1"/>
    <w:basedOn w:val="DefaultParagraphFont"/>
    <w:uiPriority w:val="99"/>
    <w:rsid w:val="00822064"/>
    <w:rPr>
      <w:color w:val="2B579A"/>
      <w:shd w:val="clear" w:color="auto" w:fill="E1DFDD"/>
    </w:rPr>
  </w:style>
  <w:style w:type="character" w:customStyle="1" w:styleId="UnresolvedMention1">
    <w:name w:val="Unresolved Mention1"/>
    <w:basedOn w:val="DefaultParagraphFont"/>
    <w:uiPriority w:val="99"/>
    <w:semiHidden/>
    <w:unhideWhenUsed/>
    <w:rsid w:val="00822064"/>
    <w:rPr>
      <w:color w:val="605E5C"/>
      <w:shd w:val="clear" w:color="auto" w:fill="E1DFDD"/>
    </w:rPr>
  </w:style>
  <w:style w:type="table" w:styleId="TableGrid">
    <w:name w:val="Table Grid"/>
    <w:basedOn w:val="TableNormal"/>
    <w:uiPriority w:val="39"/>
    <w:rsid w:val="00822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rsid w:val="008220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3406</Words>
  <Characters>19419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2026-01-02T18:24:00Z</dcterms:created>
  <dcterms:modified xsi:type="dcterms:W3CDTF">2026-01-02T18:24:00Z</dcterms:modified>
</cp:coreProperties>
</file>