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2DDA6B" w14:textId="77777777" w:rsidR="008C1F3D" w:rsidRPr="008E031B" w:rsidRDefault="008C1F3D" w:rsidP="008C1F3D">
      <w:pPr>
        <w:widowControl/>
        <w:suppressAutoHyphens/>
        <w:rPr>
          <w:rFonts w:eastAsia="Calibri"/>
          <w:sz w:val="18"/>
        </w:rPr>
      </w:pPr>
      <w:r w:rsidRPr="008E031B">
        <w:rPr>
          <w:rFonts w:eastAsia="Calibri"/>
          <w:b/>
          <w:bCs/>
          <w:sz w:val="18"/>
        </w:rPr>
        <w:t>R277.  Education, Administration.</w:t>
      </w:r>
    </w:p>
    <w:p w14:paraId="4321183B" w14:textId="77777777" w:rsidR="008C1F3D" w:rsidRPr="008E031B" w:rsidRDefault="008C1F3D" w:rsidP="008C1F3D">
      <w:pPr>
        <w:widowControl/>
        <w:suppressAutoHyphens/>
        <w:rPr>
          <w:rFonts w:eastAsia="Calibri"/>
          <w:sz w:val="18"/>
        </w:rPr>
      </w:pPr>
      <w:r w:rsidRPr="008E031B">
        <w:rPr>
          <w:rFonts w:eastAsia="Calibri"/>
          <w:b/>
          <w:bCs/>
          <w:sz w:val="18"/>
        </w:rPr>
        <w:t>R277-722.  Procedures for the Focused Graduation Pathway.</w:t>
      </w:r>
    </w:p>
    <w:p w14:paraId="67AB75B5" w14:textId="77777777" w:rsidR="008C1F3D" w:rsidRPr="008E031B" w:rsidRDefault="008C1F3D" w:rsidP="008C1F3D">
      <w:pPr>
        <w:widowControl/>
        <w:suppressAutoHyphens/>
        <w:rPr>
          <w:rFonts w:eastAsia="Calibri"/>
          <w:sz w:val="18"/>
        </w:rPr>
      </w:pPr>
      <w:r w:rsidRPr="008E031B">
        <w:rPr>
          <w:rFonts w:eastAsia="Calibri"/>
          <w:b/>
          <w:bCs/>
          <w:sz w:val="18"/>
        </w:rPr>
        <w:t>R277-722-1.  Authority, Purpose, and Oversight Category.</w:t>
      </w:r>
    </w:p>
    <w:p w14:paraId="37CF9EA2" w14:textId="77777777" w:rsidR="008C1F3D" w:rsidRPr="008E031B" w:rsidRDefault="008C1F3D" w:rsidP="008C1F3D">
      <w:pPr>
        <w:widowControl/>
        <w:suppressAutoHyphens/>
        <w:rPr>
          <w:rFonts w:eastAsia="Calibri"/>
          <w:sz w:val="18"/>
        </w:rPr>
      </w:pPr>
      <w:r w:rsidRPr="008E031B">
        <w:rPr>
          <w:rFonts w:eastAsia="Calibri"/>
          <w:sz w:val="18"/>
        </w:rPr>
        <w:tab/>
        <w:t>(1)  This rule is authorized by:</w:t>
      </w:r>
    </w:p>
    <w:p w14:paraId="33058CB0" w14:textId="77777777" w:rsidR="008C1F3D" w:rsidRPr="008E031B" w:rsidRDefault="008C1F3D" w:rsidP="008C1F3D">
      <w:pPr>
        <w:widowControl/>
        <w:suppressAutoHyphens/>
        <w:rPr>
          <w:rFonts w:eastAsia="Calibri"/>
          <w:sz w:val="18"/>
        </w:rPr>
      </w:pPr>
      <w:r w:rsidRPr="008E031B">
        <w:rPr>
          <w:rFonts w:eastAsia="Calibri"/>
          <w:sz w:val="18"/>
        </w:rPr>
        <w:tab/>
        <w:t>(a)  Utah Constitution Article X, Section 3, which vests general control and supervision of public education in the Board;</w:t>
      </w:r>
    </w:p>
    <w:p w14:paraId="76F2FBA0" w14:textId="77777777" w:rsidR="008C1F3D" w:rsidRPr="008E031B" w:rsidRDefault="008C1F3D" w:rsidP="008C1F3D">
      <w:pPr>
        <w:widowControl/>
        <w:suppressAutoHyphens/>
        <w:rPr>
          <w:rFonts w:eastAsia="Calibri"/>
          <w:sz w:val="18"/>
        </w:rPr>
      </w:pPr>
      <w:r w:rsidRPr="008E031B">
        <w:rPr>
          <w:rFonts w:eastAsia="Calibri"/>
          <w:sz w:val="18"/>
        </w:rPr>
        <w:tab/>
        <w:t>(b)  Subsection 53E-3-501(1)(b), which directs the Board to adopt rules regarding access to programs, competency levels, and graduation requirements; and</w:t>
      </w:r>
    </w:p>
    <w:p w14:paraId="62AC1219" w14:textId="77777777" w:rsidR="008C1F3D" w:rsidRPr="008E031B" w:rsidRDefault="008C1F3D" w:rsidP="008C1F3D">
      <w:pPr>
        <w:widowControl/>
        <w:suppressAutoHyphens/>
        <w:rPr>
          <w:rFonts w:eastAsia="Calibri"/>
          <w:sz w:val="18"/>
        </w:rPr>
      </w:pPr>
      <w:r w:rsidRPr="008E031B">
        <w:rPr>
          <w:rFonts w:eastAsia="Calibri"/>
          <w:sz w:val="18"/>
        </w:rPr>
        <w:tab/>
        <w:t>(c)  Subsection 53E-3-401(4), which allows the Board to make rules to execute the Board's duties and responsibilities under the Utah constitution and state law.</w:t>
      </w:r>
    </w:p>
    <w:p w14:paraId="7E3F355A" w14:textId="77777777" w:rsidR="008C1F3D" w:rsidRPr="008E031B" w:rsidRDefault="008C1F3D" w:rsidP="008C1F3D">
      <w:pPr>
        <w:widowControl/>
        <w:suppressAutoHyphens/>
        <w:rPr>
          <w:rFonts w:eastAsia="Calibri"/>
          <w:sz w:val="18"/>
        </w:rPr>
      </w:pPr>
      <w:r w:rsidRPr="008E031B">
        <w:rPr>
          <w:rFonts w:eastAsia="Calibri"/>
          <w:sz w:val="18"/>
        </w:rPr>
        <w:tab/>
        <w:t>(2)  The purpose of this rule is to describe the standards and procedures required for an individual to utilize the Focused Graduation Pathway.</w:t>
      </w:r>
    </w:p>
    <w:p w14:paraId="59EEA997" w14:textId="77777777" w:rsidR="008C1F3D" w:rsidRPr="008E031B" w:rsidRDefault="008C1F3D" w:rsidP="008C1F3D">
      <w:pPr>
        <w:widowControl/>
        <w:suppressAutoHyphens/>
        <w:rPr>
          <w:rFonts w:eastAsia="Calibri"/>
          <w:sz w:val="18"/>
        </w:rPr>
      </w:pPr>
      <w:r w:rsidRPr="008E031B">
        <w:rPr>
          <w:sz w:val="18"/>
        </w:rPr>
        <w:tab/>
        <w:t>(3)</w:t>
      </w:r>
      <w:r w:rsidRPr="008E031B">
        <w:rPr>
          <w:rFonts w:eastAsia="Arial"/>
          <w:sz w:val="18"/>
        </w:rPr>
        <w:t xml:space="preserve">  This Rule R277-722 is categorized as Category 2 as described in Rule R277-111.</w:t>
      </w:r>
    </w:p>
    <w:p w14:paraId="33ECF546" w14:textId="77777777" w:rsidR="008C1F3D" w:rsidRPr="008E031B" w:rsidRDefault="008C1F3D" w:rsidP="008C1F3D">
      <w:pPr>
        <w:widowControl/>
        <w:suppressAutoHyphens/>
        <w:rPr>
          <w:rFonts w:eastAsia="Calibri"/>
          <w:bCs/>
          <w:sz w:val="18"/>
        </w:rPr>
      </w:pPr>
    </w:p>
    <w:p w14:paraId="248A5C18" w14:textId="77777777" w:rsidR="008C1F3D" w:rsidRPr="008E031B" w:rsidRDefault="008C1F3D" w:rsidP="008C1F3D">
      <w:pPr>
        <w:widowControl/>
        <w:suppressAutoHyphens/>
        <w:rPr>
          <w:rFonts w:eastAsia="Calibri"/>
          <w:sz w:val="18"/>
        </w:rPr>
      </w:pPr>
      <w:r w:rsidRPr="008E031B">
        <w:rPr>
          <w:rFonts w:eastAsia="Calibri"/>
          <w:b/>
          <w:bCs/>
          <w:sz w:val="18"/>
        </w:rPr>
        <w:t>R277-722-2.  Definitions.</w:t>
      </w:r>
    </w:p>
    <w:p w14:paraId="6AFBBA24" w14:textId="77777777" w:rsidR="008C1F3D" w:rsidRPr="008E031B" w:rsidRDefault="008C1F3D" w:rsidP="008C1F3D">
      <w:pPr>
        <w:widowControl/>
        <w:suppressAutoHyphens/>
        <w:rPr>
          <w:rFonts w:eastAsia="Calibri"/>
          <w:sz w:val="18"/>
        </w:rPr>
      </w:pPr>
      <w:r w:rsidRPr="008E031B">
        <w:rPr>
          <w:rFonts w:eastAsia="Calibri"/>
          <w:sz w:val="18"/>
        </w:rPr>
        <w:tab/>
        <w:t>(1)  "FGP student" means an individual 16 to 19 years of age who meets the requirements of this rule, attends a participating school, and has consented to participate in the Focused Graduation Pathway (FGP).</w:t>
      </w:r>
    </w:p>
    <w:p w14:paraId="5620E479" w14:textId="77777777" w:rsidR="008C1F3D" w:rsidRPr="008E031B" w:rsidRDefault="008C1F3D" w:rsidP="008C1F3D">
      <w:pPr>
        <w:widowControl/>
        <w:suppressAutoHyphens/>
        <w:rPr>
          <w:rFonts w:eastAsia="Calibri"/>
          <w:sz w:val="18"/>
        </w:rPr>
      </w:pPr>
      <w:r w:rsidRPr="008E031B">
        <w:rPr>
          <w:rFonts w:eastAsia="Calibri"/>
          <w:sz w:val="18"/>
        </w:rPr>
        <w:tab/>
        <w:t>(2)  "General Education Development" high school equivalency exam or "GED exam" means a high school equivalency exam that is a standardized test that measures proficiency in one of four subject areas: Reasoning Through Language Arts, Mathematical Reasoning, Science, and Social Studies, and is administered by authorized testing centers.</w:t>
      </w:r>
    </w:p>
    <w:p w14:paraId="46E9D74A" w14:textId="77777777" w:rsidR="008C1F3D" w:rsidRPr="008E031B" w:rsidRDefault="008C1F3D" w:rsidP="008C1F3D">
      <w:pPr>
        <w:widowControl/>
        <w:suppressAutoHyphens/>
        <w:rPr>
          <w:rFonts w:eastAsia="Calibri"/>
          <w:sz w:val="18"/>
        </w:rPr>
      </w:pPr>
      <w:r w:rsidRPr="008E031B">
        <w:rPr>
          <w:rFonts w:eastAsia="Calibri"/>
          <w:sz w:val="18"/>
        </w:rPr>
        <w:tab/>
        <w:t>(3)  "GED Alerts" means</w:t>
      </w:r>
      <w:r w:rsidRPr="008E031B">
        <w:rPr>
          <w:sz w:val="18"/>
          <w:szCs w:val="21"/>
          <w:shd w:val="clear" w:color="auto" w:fill="FFFFFF"/>
        </w:rPr>
        <w:t xml:space="preserve"> </w:t>
      </w:r>
      <w:r w:rsidRPr="008E031B">
        <w:rPr>
          <w:rFonts w:eastAsia="Calibri"/>
          <w:sz w:val="18"/>
        </w:rPr>
        <w:t>an official notification issued by the Utah State Board of Education to inform high school students, educators, and the public about the availability and details of the General Education Development (GED) high school equivalency exam.</w:t>
      </w:r>
    </w:p>
    <w:p w14:paraId="13F509DA" w14:textId="77777777" w:rsidR="008C1F3D" w:rsidRPr="008E031B" w:rsidRDefault="008C1F3D" w:rsidP="008C1F3D">
      <w:pPr>
        <w:widowControl/>
        <w:suppressAutoHyphens/>
        <w:rPr>
          <w:rFonts w:eastAsia="Calibri"/>
          <w:sz w:val="18"/>
        </w:rPr>
      </w:pPr>
      <w:r w:rsidRPr="008E031B">
        <w:rPr>
          <w:rFonts w:eastAsia="Calibri"/>
          <w:sz w:val="18"/>
        </w:rPr>
        <w:tab/>
        <w:t>(4)  "Participating school" means</w:t>
      </w:r>
      <w:r w:rsidRPr="008E031B">
        <w:rPr>
          <w:sz w:val="18"/>
          <w:szCs w:val="21"/>
          <w:shd w:val="clear" w:color="auto" w:fill="FFFFFF"/>
        </w:rPr>
        <w:t xml:space="preserve"> </w:t>
      </w:r>
      <w:r w:rsidRPr="008E031B">
        <w:rPr>
          <w:rFonts w:eastAsia="Calibri"/>
          <w:sz w:val="18"/>
        </w:rPr>
        <w:t>a school that has proposed an FGP, obtained LEA board approval, and meets all other requirements as outlined in this rule.</w:t>
      </w:r>
    </w:p>
    <w:p w14:paraId="3A87AD1D" w14:textId="77777777" w:rsidR="008C1F3D" w:rsidRPr="008E031B" w:rsidRDefault="008C1F3D" w:rsidP="008C1F3D">
      <w:pPr>
        <w:widowControl/>
        <w:suppressAutoHyphens/>
        <w:rPr>
          <w:rFonts w:eastAsia="Calibri"/>
          <w:sz w:val="18"/>
        </w:rPr>
      </w:pPr>
    </w:p>
    <w:p w14:paraId="0208FEDE" w14:textId="77777777" w:rsidR="008C1F3D" w:rsidRPr="008E031B" w:rsidRDefault="008C1F3D" w:rsidP="008C1F3D">
      <w:pPr>
        <w:widowControl/>
        <w:suppressAutoHyphens/>
        <w:rPr>
          <w:rFonts w:eastAsia="Calibri"/>
          <w:sz w:val="18"/>
        </w:rPr>
      </w:pPr>
      <w:r w:rsidRPr="008E031B">
        <w:rPr>
          <w:rFonts w:eastAsia="Calibri"/>
          <w:b/>
          <w:bCs/>
          <w:sz w:val="18"/>
        </w:rPr>
        <w:t>R277-722-3.  Focused Graduation Program Requirements.</w:t>
      </w:r>
    </w:p>
    <w:p w14:paraId="2E262925" w14:textId="77777777" w:rsidR="008C1F3D" w:rsidRPr="008E031B" w:rsidRDefault="008C1F3D" w:rsidP="008C1F3D">
      <w:pPr>
        <w:widowControl/>
        <w:suppressAutoHyphens/>
        <w:rPr>
          <w:rFonts w:eastAsia="Calibri"/>
          <w:sz w:val="18"/>
        </w:rPr>
      </w:pPr>
      <w:r w:rsidRPr="008E031B">
        <w:rPr>
          <w:rFonts w:eastAsia="Calibri"/>
          <w:sz w:val="18"/>
        </w:rPr>
        <w:tab/>
        <w:t>(1)  Before enrolling students in the FGP, a participating school shall</w:t>
      </w:r>
    </w:p>
    <w:p w14:paraId="09054784" w14:textId="77777777" w:rsidR="008C1F3D" w:rsidRPr="008E031B" w:rsidRDefault="008C1F3D" w:rsidP="008C1F3D">
      <w:pPr>
        <w:widowControl/>
        <w:suppressAutoHyphens/>
        <w:rPr>
          <w:rFonts w:eastAsia="Calibri"/>
          <w:sz w:val="18"/>
        </w:rPr>
      </w:pPr>
      <w:r w:rsidRPr="008E031B">
        <w:rPr>
          <w:rFonts w:eastAsia="Calibri"/>
          <w:sz w:val="18"/>
        </w:rPr>
        <w:tab/>
        <w:t>(a)  develop policies and procedures surrounding the FGP for their school, in accordance with existing LEA policy</w:t>
      </w:r>
    </w:p>
    <w:p w14:paraId="2A95399E" w14:textId="77777777" w:rsidR="008C1F3D" w:rsidRPr="008E031B" w:rsidRDefault="008C1F3D" w:rsidP="008C1F3D">
      <w:pPr>
        <w:widowControl/>
        <w:suppressAutoHyphens/>
        <w:rPr>
          <w:rFonts w:eastAsia="Calibri"/>
          <w:sz w:val="18"/>
        </w:rPr>
      </w:pPr>
      <w:r w:rsidRPr="008E031B">
        <w:rPr>
          <w:rFonts w:eastAsia="Calibri"/>
          <w:sz w:val="18"/>
        </w:rPr>
        <w:tab/>
        <w:t>(b)  obtain the LEA board approval prior to participating in the FGP</w:t>
      </w:r>
    </w:p>
    <w:p w14:paraId="39D031C0" w14:textId="77777777" w:rsidR="008C1F3D" w:rsidRPr="008E031B" w:rsidRDefault="008C1F3D" w:rsidP="008C1F3D">
      <w:pPr>
        <w:widowControl/>
        <w:suppressAutoHyphens/>
        <w:rPr>
          <w:rFonts w:eastAsia="Calibri"/>
          <w:sz w:val="18"/>
        </w:rPr>
      </w:pPr>
      <w:r w:rsidRPr="008E031B">
        <w:rPr>
          <w:rFonts w:eastAsia="Calibri"/>
          <w:sz w:val="18"/>
        </w:rPr>
        <w:tab/>
        <w:t>(i)  outlining how FGP will be implemented</w:t>
      </w:r>
    </w:p>
    <w:p w14:paraId="031153F1" w14:textId="77777777" w:rsidR="008C1F3D" w:rsidRPr="008E031B" w:rsidRDefault="008C1F3D" w:rsidP="008C1F3D">
      <w:pPr>
        <w:widowControl/>
        <w:suppressAutoHyphens/>
        <w:rPr>
          <w:rFonts w:eastAsia="Calibri"/>
          <w:sz w:val="18"/>
        </w:rPr>
      </w:pPr>
      <w:r w:rsidRPr="008E031B">
        <w:rPr>
          <w:rFonts w:eastAsia="Calibri"/>
          <w:sz w:val="18"/>
        </w:rPr>
        <w:tab/>
        <w:t>(c)  designate an FGP Coordinator to oversee the program</w:t>
      </w:r>
    </w:p>
    <w:p w14:paraId="4ACDF913" w14:textId="77777777" w:rsidR="008C1F3D" w:rsidRPr="008E031B" w:rsidRDefault="008C1F3D" w:rsidP="008C1F3D">
      <w:pPr>
        <w:widowControl/>
        <w:suppressAutoHyphens/>
        <w:rPr>
          <w:rFonts w:eastAsia="Calibri"/>
          <w:sz w:val="18"/>
        </w:rPr>
      </w:pPr>
      <w:r w:rsidRPr="008E031B">
        <w:rPr>
          <w:rFonts w:eastAsia="Calibri"/>
          <w:sz w:val="18"/>
        </w:rPr>
        <w:tab/>
        <w:t>(d)  submit the approved application in Subsection (1)(b) to the Superintendent</w:t>
      </w:r>
    </w:p>
    <w:p w14:paraId="5AD93468" w14:textId="77777777" w:rsidR="008C1F3D" w:rsidRPr="008E031B" w:rsidRDefault="008C1F3D" w:rsidP="008C1F3D">
      <w:pPr>
        <w:widowControl/>
        <w:suppressAutoHyphens/>
        <w:rPr>
          <w:rFonts w:eastAsia="Calibri"/>
          <w:sz w:val="18"/>
        </w:rPr>
      </w:pPr>
      <w:r w:rsidRPr="008E031B">
        <w:rPr>
          <w:rFonts w:eastAsia="Calibri"/>
          <w:sz w:val="18"/>
        </w:rPr>
        <w:tab/>
        <w:t>(2)  A participating school may not withdraw a student participating in the FGP from k-12 before the student takes any of the four subject GED tests.</w:t>
      </w:r>
    </w:p>
    <w:p w14:paraId="59BC56D7" w14:textId="77777777" w:rsidR="008C1F3D" w:rsidRPr="008E031B" w:rsidRDefault="008C1F3D" w:rsidP="008C1F3D">
      <w:pPr>
        <w:widowControl/>
        <w:suppressAutoHyphens/>
        <w:rPr>
          <w:rFonts w:eastAsia="Calibri"/>
          <w:sz w:val="18"/>
        </w:rPr>
      </w:pPr>
      <w:r w:rsidRPr="008E031B">
        <w:rPr>
          <w:rFonts w:eastAsia="Calibri"/>
          <w:sz w:val="18"/>
        </w:rPr>
        <w:tab/>
        <w:t>(3)  A participating school shall:</w:t>
      </w:r>
    </w:p>
    <w:p w14:paraId="295C66E0" w14:textId="77777777" w:rsidR="008C1F3D" w:rsidRPr="008E031B" w:rsidRDefault="008C1F3D" w:rsidP="008C1F3D">
      <w:pPr>
        <w:widowControl/>
        <w:suppressAutoHyphens/>
        <w:rPr>
          <w:rFonts w:eastAsia="Calibri"/>
          <w:sz w:val="18"/>
        </w:rPr>
      </w:pPr>
      <w:r w:rsidRPr="008E031B">
        <w:rPr>
          <w:rFonts w:eastAsia="Calibri"/>
          <w:sz w:val="18"/>
        </w:rPr>
        <w:tab/>
        <w:t>(a)  maintain a student-teacher ratio not to exceed the average ratio of the participating school for all GED prep courses;</w:t>
      </w:r>
    </w:p>
    <w:p w14:paraId="58E36103" w14:textId="77777777" w:rsidR="008C1F3D" w:rsidRPr="008E031B" w:rsidRDefault="008C1F3D" w:rsidP="008C1F3D">
      <w:pPr>
        <w:widowControl/>
        <w:suppressAutoHyphens/>
        <w:rPr>
          <w:rFonts w:eastAsia="Calibri"/>
          <w:sz w:val="18"/>
        </w:rPr>
      </w:pPr>
      <w:r w:rsidRPr="008E031B">
        <w:rPr>
          <w:rFonts w:eastAsia="Calibri"/>
          <w:sz w:val="18"/>
        </w:rPr>
        <w:tab/>
        <w:t>(b)  provide necessary support for a student with disabilities, as required by Rule R277-705;</w:t>
      </w:r>
    </w:p>
    <w:p w14:paraId="260D8E6D" w14:textId="77777777" w:rsidR="008C1F3D" w:rsidRPr="008E031B" w:rsidRDefault="008C1F3D" w:rsidP="008C1F3D">
      <w:pPr>
        <w:widowControl/>
        <w:suppressAutoHyphens/>
        <w:rPr>
          <w:rFonts w:eastAsia="Calibri"/>
          <w:sz w:val="18"/>
        </w:rPr>
      </w:pPr>
      <w:r w:rsidRPr="008E031B">
        <w:rPr>
          <w:rFonts w:eastAsia="Calibri"/>
          <w:sz w:val="18"/>
        </w:rPr>
        <w:tab/>
        <w:t>(c)  provide subject area experts to students when preparing for each GED subject test;</w:t>
      </w:r>
    </w:p>
    <w:p w14:paraId="711DB95F" w14:textId="77777777" w:rsidR="008C1F3D" w:rsidRPr="008E031B" w:rsidRDefault="008C1F3D" w:rsidP="008C1F3D">
      <w:pPr>
        <w:widowControl/>
        <w:suppressAutoHyphens/>
        <w:rPr>
          <w:rFonts w:eastAsia="Calibri"/>
          <w:sz w:val="18"/>
        </w:rPr>
      </w:pPr>
      <w:r w:rsidRPr="008E031B">
        <w:rPr>
          <w:rFonts w:eastAsia="Calibri"/>
          <w:sz w:val="18"/>
        </w:rPr>
        <w:tab/>
        <w:t>(d)  coordinate the clearance of GED alerts for a FGP student with the Superintendent; and</w:t>
      </w:r>
    </w:p>
    <w:p w14:paraId="1C5D602F" w14:textId="77777777" w:rsidR="008C1F3D" w:rsidRPr="008E031B" w:rsidRDefault="008C1F3D" w:rsidP="008C1F3D">
      <w:pPr>
        <w:widowControl/>
        <w:suppressAutoHyphens/>
        <w:rPr>
          <w:rFonts w:eastAsia="Calibri"/>
          <w:sz w:val="18"/>
        </w:rPr>
      </w:pPr>
      <w:r w:rsidRPr="008E031B">
        <w:rPr>
          <w:rFonts w:eastAsia="Calibri"/>
          <w:sz w:val="18"/>
        </w:rPr>
        <w:tab/>
        <w:t>(e)  submit annual report to the Superintendent on FGP enrollment, completion rates, and other relevant data as determined by the Superintendent.</w:t>
      </w:r>
    </w:p>
    <w:p w14:paraId="453FA97D" w14:textId="77777777" w:rsidR="008C1F3D" w:rsidRPr="008E031B" w:rsidRDefault="008C1F3D" w:rsidP="008C1F3D">
      <w:pPr>
        <w:widowControl/>
        <w:suppressAutoHyphens/>
        <w:rPr>
          <w:rFonts w:eastAsia="Calibri"/>
          <w:sz w:val="18"/>
        </w:rPr>
      </w:pPr>
    </w:p>
    <w:p w14:paraId="36560604" w14:textId="77777777" w:rsidR="008C1F3D" w:rsidRPr="008E031B" w:rsidRDefault="008C1F3D" w:rsidP="008C1F3D">
      <w:pPr>
        <w:widowControl/>
        <w:suppressAutoHyphens/>
        <w:rPr>
          <w:rFonts w:eastAsia="Calibri"/>
          <w:sz w:val="18"/>
        </w:rPr>
      </w:pPr>
      <w:r w:rsidRPr="008E031B">
        <w:rPr>
          <w:rFonts w:eastAsia="Calibri"/>
          <w:b/>
          <w:bCs/>
          <w:sz w:val="18"/>
        </w:rPr>
        <w:t>R277-722-4.  Student Eligibility for Focused Graduation Pathway.</w:t>
      </w:r>
    </w:p>
    <w:p w14:paraId="1D31869F" w14:textId="77777777" w:rsidR="008C1F3D" w:rsidRPr="008E031B" w:rsidRDefault="008C1F3D" w:rsidP="008C1F3D">
      <w:pPr>
        <w:widowControl/>
        <w:suppressAutoHyphens/>
        <w:rPr>
          <w:rFonts w:eastAsia="Calibri"/>
          <w:sz w:val="18"/>
        </w:rPr>
      </w:pPr>
      <w:r w:rsidRPr="008E031B">
        <w:rPr>
          <w:rFonts w:eastAsia="Calibri"/>
          <w:sz w:val="18"/>
        </w:rPr>
        <w:tab/>
        <w:t>(1)  A candidate for the focused graduation pathway shall:</w:t>
      </w:r>
    </w:p>
    <w:p w14:paraId="100639F6" w14:textId="77777777" w:rsidR="008C1F3D" w:rsidRPr="008E031B" w:rsidRDefault="008C1F3D" w:rsidP="008C1F3D">
      <w:pPr>
        <w:widowControl/>
        <w:suppressAutoHyphens/>
        <w:rPr>
          <w:rFonts w:eastAsia="Calibri"/>
          <w:sz w:val="18"/>
        </w:rPr>
      </w:pPr>
      <w:r w:rsidRPr="008E031B">
        <w:rPr>
          <w:rFonts w:eastAsia="Calibri"/>
          <w:sz w:val="18"/>
        </w:rPr>
        <w:tab/>
        <w:t>(a)  be at least 16 years of age;</w:t>
      </w:r>
    </w:p>
    <w:p w14:paraId="59EA4EAF" w14:textId="77777777" w:rsidR="008C1F3D" w:rsidRPr="008E031B" w:rsidRDefault="008C1F3D" w:rsidP="008C1F3D">
      <w:pPr>
        <w:widowControl/>
        <w:suppressAutoHyphens/>
        <w:rPr>
          <w:rFonts w:eastAsia="Calibri"/>
          <w:sz w:val="18"/>
        </w:rPr>
      </w:pPr>
      <w:r w:rsidRPr="008E031B">
        <w:rPr>
          <w:rFonts w:eastAsia="Calibri"/>
          <w:sz w:val="18"/>
        </w:rPr>
        <w:tab/>
        <w:t>(b)  be a junior or senior enrolled in high school;</w:t>
      </w:r>
    </w:p>
    <w:p w14:paraId="0CD971E2" w14:textId="77777777" w:rsidR="008C1F3D" w:rsidRPr="008E031B" w:rsidRDefault="008C1F3D" w:rsidP="008C1F3D">
      <w:pPr>
        <w:widowControl/>
        <w:suppressAutoHyphens/>
        <w:rPr>
          <w:rFonts w:eastAsia="Calibri"/>
          <w:sz w:val="18"/>
        </w:rPr>
      </w:pPr>
      <w:r w:rsidRPr="008E031B">
        <w:rPr>
          <w:rFonts w:eastAsia="Calibri"/>
          <w:sz w:val="18"/>
        </w:rPr>
        <w:tab/>
        <w:t>(c)  be significantly behind in high school credits earned with:</w:t>
      </w:r>
    </w:p>
    <w:p w14:paraId="0CF2AA92" w14:textId="77777777" w:rsidR="008C1F3D" w:rsidRPr="008E031B" w:rsidRDefault="008C1F3D" w:rsidP="008C1F3D">
      <w:pPr>
        <w:widowControl/>
        <w:suppressAutoHyphens/>
        <w:rPr>
          <w:rFonts w:eastAsia="Calibri"/>
          <w:sz w:val="18"/>
        </w:rPr>
      </w:pPr>
      <w:r w:rsidRPr="008E031B">
        <w:rPr>
          <w:rFonts w:eastAsia="Calibri"/>
          <w:sz w:val="18"/>
        </w:rPr>
        <w:tab/>
        <w:t>(i)  at least 6 credits behind if a junior; or</w:t>
      </w:r>
    </w:p>
    <w:p w14:paraId="548650BF" w14:textId="77777777" w:rsidR="008C1F3D" w:rsidRPr="008E031B" w:rsidRDefault="008C1F3D" w:rsidP="008C1F3D">
      <w:pPr>
        <w:widowControl/>
        <w:suppressAutoHyphens/>
        <w:rPr>
          <w:rFonts w:eastAsia="Calibri"/>
          <w:sz w:val="18"/>
        </w:rPr>
      </w:pPr>
      <w:r w:rsidRPr="008E031B">
        <w:rPr>
          <w:rFonts w:eastAsia="Calibri"/>
          <w:sz w:val="18"/>
        </w:rPr>
        <w:tab/>
        <w:t>(ii)  at least 3 credits behind if a senior;</w:t>
      </w:r>
    </w:p>
    <w:p w14:paraId="3FD48195" w14:textId="77777777" w:rsidR="008C1F3D" w:rsidRPr="008E031B" w:rsidRDefault="008C1F3D" w:rsidP="008C1F3D">
      <w:pPr>
        <w:widowControl/>
        <w:suppressAutoHyphens/>
        <w:rPr>
          <w:rFonts w:eastAsia="Calibri"/>
          <w:sz w:val="18"/>
        </w:rPr>
      </w:pPr>
      <w:r w:rsidRPr="008E031B">
        <w:rPr>
          <w:rFonts w:eastAsia="Calibri"/>
          <w:sz w:val="18"/>
        </w:rPr>
        <w:tab/>
        <w:t>(d)  demonstrate 9th grade reading level or higher on an assessment chosen by the LEA;</w:t>
      </w:r>
    </w:p>
    <w:p w14:paraId="567C14EF" w14:textId="77777777" w:rsidR="008C1F3D" w:rsidRPr="008E031B" w:rsidRDefault="008C1F3D" w:rsidP="008C1F3D">
      <w:pPr>
        <w:widowControl/>
        <w:suppressAutoHyphens/>
        <w:rPr>
          <w:rFonts w:eastAsia="Calibri"/>
          <w:sz w:val="18"/>
        </w:rPr>
      </w:pPr>
      <w:r w:rsidRPr="008E031B">
        <w:rPr>
          <w:rFonts w:eastAsia="Calibri"/>
          <w:sz w:val="18"/>
        </w:rPr>
        <w:tab/>
        <w:t>(e)  remain enrolled in a Utah k-12 school throughout the entirety of the pathway;</w:t>
      </w:r>
    </w:p>
    <w:p w14:paraId="713BEC90" w14:textId="77777777" w:rsidR="008C1F3D" w:rsidRPr="008E031B" w:rsidRDefault="008C1F3D" w:rsidP="008C1F3D">
      <w:pPr>
        <w:widowControl/>
        <w:suppressAutoHyphens/>
        <w:rPr>
          <w:sz w:val="18"/>
          <w:szCs w:val="18"/>
        </w:rPr>
      </w:pPr>
      <w:r w:rsidRPr="008E031B">
        <w:rPr>
          <w:rFonts w:eastAsia="Calibri"/>
          <w:sz w:val="18"/>
        </w:rPr>
        <w:tab/>
        <w:t>(2)  A FGP candidate shall participate in a formal meeting with applicable school staff where:</w:t>
      </w:r>
    </w:p>
    <w:p w14:paraId="22EF450E" w14:textId="77777777" w:rsidR="008C1F3D" w:rsidRPr="008E031B" w:rsidRDefault="008C1F3D" w:rsidP="008C1F3D">
      <w:pPr>
        <w:widowControl/>
        <w:suppressAutoHyphens/>
        <w:rPr>
          <w:rFonts w:eastAsia="Calibri"/>
          <w:sz w:val="18"/>
        </w:rPr>
      </w:pPr>
      <w:r w:rsidRPr="008E031B">
        <w:rPr>
          <w:rFonts w:eastAsia="Calibri"/>
          <w:sz w:val="18"/>
        </w:rPr>
        <w:tab/>
        <w:t>(a)  the policies and procedures surrounding the FGP are explained and</w:t>
      </w:r>
    </w:p>
    <w:p w14:paraId="5038DD90" w14:textId="77777777" w:rsidR="008C1F3D" w:rsidRPr="008E031B" w:rsidRDefault="008C1F3D" w:rsidP="008C1F3D">
      <w:pPr>
        <w:widowControl/>
        <w:suppressAutoHyphens/>
        <w:rPr>
          <w:rFonts w:eastAsia="Calibri"/>
          <w:sz w:val="18"/>
        </w:rPr>
      </w:pPr>
      <w:r w:rsidRPr="008E031B">
        <w:rPr>
          <w:rFonts w:eastAsia="Calibri"/>
          <w:sz w:val="18"/>
        </w:rPr>
        <w:tab/>
        <w:t>(b)(i)  parental consent to participate in the FPG is provided; or</w:t>
      </w:r>
    </w:p>
    <w:p w14:paraId="3098AEFC" w14:textId="77777777" w:rsidR="008C1F3D" w:rsidRPr="008E031B" w:rsidRDefault="008C1F3D" w:rsidP="008C1F3D">
      <w:pPr>
        <w:widowControl/>
        <w:suppressAutoHyphens/>
        <w:rPr>
          <w:rFonts w:eastAsia="Calibri"/>
          <w:sz w:val="18"/>
        </w:rPr>
      </w:pPr>
      <w:r w:rsidRPr="008E031B">
        <w:rPr>
          <w:rFonts w:eastAsia="Calibri"/>
          <w:sz w:val="18"/>
        </w:rPr>
        <w:tab/>
        <w:t>(ii)  student consent if the student is a verified unaccompanied minor;</w:t>
      </w:r>
    </w:p>
    <w:p w14:paraId="6C7DD2EF" w14:textId="77777777" w:rsidR="008C1F3D" w:rsidRPr="008E031B" w:rsidRDefault="008C1F3D" w:rsidP="008C1F3D">
      <w:pPr>
        <w:widowControl/>
        <w:suppressAutoHyphens/>
        <w:rPr>
          <w:rFonts w:eastAsia="Calibri"/>
          <w:sz w:val="18"/>
        </w:rPr>
      </w:pPr>
      <w:r w:rsidRPr="008E031B">
        <w:rPr>
          <w:rFonts w:eastAsia="Calibri"/>
          <w:sz w:val="18"/>
        </w:rPr>
        <w:tab/>
        <w:t>(4)  Consent to participate shall be voluntarily given.</w:t>
      </w:r>
    </w:p>
    <w:p w14:paraId="32120F6A" w14:textId="77777777" w:rsidR="008C1F3D" w:rsidRPr="008E031B" w:rsidRDefault="008C1F3D" w:rsidP="008C1F3D">
      <w:pPr>
        <w:widowControl/>
        <w:suppressAutoHyphens/>
        <w:rPr>
          <w:rFonts w:eastAsia="Calibri"/>
          <w:sz w:val="18"/>
        </w:rPr>
      </w:pPr>
    </w:p>
    <w:p w14:paraId="79E62142" w14:textId="77777777" w:rsidR="008C1F3D" w:rsidRPr="008E031B" w:rsidRDefault="008C1F3D" w:rsidP="008C1F3D">
      <w:pPr>
        <w:widowControl/>
        <w:suppressAutoHyphens/>
        <w:rPr>
          <w:rFonts w:eastAsia="Calibri"/>
          <w:sz w:val="18"/>
        </w:rPr>
      </w:pPr>
      <w:r w:rsidRPr="008E031B">
        <w:rPr>
          <w:rFonts w:eastAsia="Calibri"/>
          <w:b/>
          <w:bCs/>
          <w:sz w:val="18"/>
        </w:rPr>
        <w:t>R277-722-5.  Testing and Credit.</w:t>
      </w:r>
    </w:p>
    <w:p w14:paraId="0C96D352" w14:textId="77777777" w:rsidR="008C1F3D" w:rsidRPr="008E031B" w:rsidRDefault="008C1F3D" w:rsidP="008C1F3D">
      <w:pPr>
        <w:widowControl/>
        <w:suppressAutoHyphens/>
        <w:rPr>
          <w:rFonts w:eastAsia="Calibri"/>
          <w:sz w:val="18"/>
        </w:rPr>
      </w:pPr>
      <w:r w:rsidRPr="008E031B">
        <w:rPr>
          <w:rFonts w:eastAsia="Calibri"/>
          <w:sz w:val="18"/>
        </w:rPr>
        <w:tab/>
        <w:t>(1)  A FGP student shall complete a GED exam:</w:t>
      </w:r>
    </w:p>
    <w:p w14:paraId="1135AB76" w14:textId="77777777" w:rsidR="008C1F3D" w:rsidRPr="008E031B" w:rsidRDefault="008C1F3D" w:rsidP="008C1F3D">
      <w:pPr>
        <w:widowControl/>
        <w:suppressAutoHyphens/>
        <w:rPr>
          <w:rFonts w:eastAsia="Calibri"/>
          <w:sz w:val="18"/>
        </w:rPr>
      </w:pPr>
      <w:r w:rsidRPr="008E031B">
        <w:rPr>
          <w:rFonts w:eastAsia="Calibri"/>
          <w:sz w:val="18"/>
        </w:rPr>
        <w:tab/>
        <w:t>(a)  at approved testing centers; or</w:t>
      </w:r>
    </w:p>
    <w:p w14:paraId="52FF89F5" w14:textId="77777777" w:rsidR="008C1F3D" w:rsidRPr="008E031B" w:rsidRDefault="008C1F3D" w:rsidP="008C1F3D">
      <w:pPr>
        <w:widowControl/>
        <w:suppressAutoHyphens/>
        <w:rPr>
          <w:rFonts w:eastAsia="Calibri"/>
          <w:sz w:val="18"/>
        </w:rPr>
      </w:pPr>
      <w:r w:rsidRPr="008E031B">
        <w:rPr>
          <w:rFonts w:eastAsia="Calibri"/>
          <w:sz w:val="18"/>
        </w:rPr>
        <w:tab/>
        <w:t>(b)  through an online proctored test, in accordance with GED policies and procedures.</w:t>
      </w:r>
    </w:p>
    <w:p w14:paraId="305C6FC5" w14:textId="77777777" w:rsidR="008C1F3D" w:rsidRPr="008E031B" w:rsidRDefault="008C1F3D" w:rsidP="008C1F3D">
      <w:pPr>
        <w:widowControl/>
        <w:suppressAutoHyphens/>
        <w:rPr>
          <w:rFonts w:eastAsia="Calibri"/>
          <w:sz w:val="18"/>
        </w:rPr>
      </w:pPr>
      <w:r w:rsidRPr="008E031B">
        <w:rPr>
          <w:rFonts w:eastAsia="Calibri"/>
          <w:sz w:val="18"/>
        </w:rPr>
        <w:lastRenderedPageBreak/>
        <w:tab/>
        <w:t>(2)  A participating school may award core credit to an FGP student for passing GED exams, as determined by school and LEA policy up to;</w:t>
      </w:r>
    </w:p>
    <w:p w14:paraId="6538A464" w14:textId="77777777" w:rsidR="008C1F3D" w:rsidRPr="008E031B" w:rsidRDefault="008C1F3D" w:rsidP="008C1F3D">
      <w:pPr>
        <w:widowControl/>
        <w:suppressAutoHyphens/>
        <w:rPr>
          <w:rFonts w:eastAsia="Calibri"/>
          <w:sz w:val="18"/>
        </w:rPr>
      </w:pPr>
      <w:r w:rsidRPr="008E031B">
        <w:rPr>
          <w:rFonts w:eastAsia="Calibri"/>
          <w:sz w:val="18"/>
        </w:rPr>
        <w:tab/>
        <w:t>(a)  4.0 credits for language arts for passing Reasoning through Language Arts;</w:t>
      </w:r>
    </w:p>
    <w:p w14:paraId="490789A3" w14:textId="77777777" w:rsidR="008C1F3D" w:rsidRPr="008E031B" w:rsidRDefault="008C1F3D" w:rsidP="008C1F3D">
      <w:pPr>
        <w:widowControl/>
        <w:suppressAutoHyphens/>
        <w:rPr>
          <w:rFonts w:eastAsia="Calibri"/>
          <w:sz w:val="18"/>
        </w:rPr>
      </w:pPr>
      <w:r w:rsidRPr="008E031B">
        <w:rPr>
          <w:rFonts w:eastAsia="Calibri"/>
          <w:sz w:val="18"/>
        </w:rPr>
        <w:tab/>
        <w:t>(b)  3.0 credits for social studies for passing Social Studies;</w:t>
      </w:r>
    </w:p>
    <w:p w14:paraId="41380EFA" w14:textId="77777777" w:rsidR="008C1F3D" w:rsidRPr="008E031B" w:rsidRDefault="008C1F3D" w:rsidP="008C1F3D">
      <w:pPr>
        <w:widowControl/>
        <w:suppressAutoHyphens/>
        <w:rPr>
          <w:rFonts w:eastAsia="Calibri"/>
          <w:sz w:val="18"/>
        </w:rPr>
      </w:pPr>
      <w:r w:rsidRPr="008E031B">
        <w:rPr>
          <w:rFonts w:eastAsia="Calibri"/>
          <w:sz w:val="18"/>
        </w:rPr>
        <w:tab/>
        <w:t>(c)  3.0 credits for mathematics for passing Mathematical Reasoning; and</w:t>
      </w:r>
    </w:p>
    <w:p w14:paraId="1EA361B7" w14:textId="77777777" w:rsidR="008C1F3D" w:rsidRPr="008E031B" w:rsidRDefault="008C1F3D" w:rsidP="008C1F3D">
      <w:pPr>
        <w:widowControl/>
        <w:suppressAutoHyphens/>
        <w:rPr>
          <w:rFonts w:eastAsia="Calibri"/>
          <w:sz w:val="18"/>
        </w:rPr>
      </w:pPr>
      <w:r w:rsidRPr="008E031B">
        <w:rPr>
          <w:rFonts w:eastAsia="Calibri"/>
          <w:sz w:val="18"/>
        </w:rPr>
        <w:tab/>
        <w:t>(d)  3.0 credits for science for passing Science.</w:t>
      </w:r>
    </w:p>
    <w:p w14:paraId="7CE87B99" w14:textId="77777777" w:rsidR="008C1F3D" w:rsidRPr="008E031B" w:rsidRDefault="008C1F3D" w:rsidP="008C1F3D">
      <w:pPr>
        <w:widowControl/>
        <w:suppressAutoHyphens/>
        <w:rPr>
          <w:rFonts w:eastAsia="Calibri"/>
          <w:sz w:val="18"/>
        </w:rPr>
      </w:pPr>
      <w:r w:rsidRPr="008E031B">
        <w:rPr>
          <w:rFonts w:eastAsia="Calibri"/>
          <w:sz w:val="18"/>
        </w:rPr>
        <w:tab/>
        <w:t>(3)  Awarded credit shall be recorded on a transcript as pass/fail instead of a letter grade.</w:t>
      </w:r>
    </w:p>
    <w:p w14:paraId="7DDA9FC7" w14:textId="77777777" w:rsidR="008C1F3D" w:rsidRPr="008E031B" w:rsidRDefault="008C1F3D" w:rsidP="008C1F3D">
      <w:pPr>
        <w:widowControl/>
        <w:suppressAutoHyphens/>
        <w:rPr>
          <w:rFonts w:eastAsia="Calibri"/>
          <w:sz w:val="18"/>
        </w:rPr>
      </w:pPr>
      <w:r w:rsidRPr="008E031B">
        <w:rPr>
          <w:rFonts w:eastAsia="Calibri"/>
          <w:sz w:val="18"/>
        </w:rPr>
        <w:tab/>
        <w:t>(4)  An FGP student shall complete all remaining graduation requirements as required by the LEA to be eligible for graduation.</w:t>
      </w:r>
    </w:p>
    <w:p w14:paraId="47309798" w14:textId="77777777" w:rsidR="008C1F3D" w:rsidRPr="008E031B" w:rsidRDefault="008C1F3D" w:rsidP="008C1F3D">
      <w:pPr>
        <w:widowControl/>
        <w:suppressAutoHyphens/>
        <w:rPr>
          <w:rFonts w:eastAsia="Calibri"/>
          <w:sz w:val="18"/>
        </w:rPr>
      </w:pPr>
    </w:p>
    <w:p w14:paraId="2E347744" w14:textId="77777777" w:rsidR="008C1F3D" w:rsidRPr="008E031B" w:rsidRDefault="008C1F3D" w:rsidP="008C1F3D">
      <w:pPr>
        <w:widowControl/>
        <w:suppressAutoHyphens/>
        <w:rPr>
          <w:rFonts w:eastAsia="Calibri"/>
          <w:sz w:val="18"/>
        </w:rPr>
      </w:pPr>
      <w:r w:rsidRPr="008E031B">
        <w:rPr>
          <w:rFonts w:eastAsia="Calibri"/>
          <w:b/>
          <w:bCs/>
          <w:sz w:val="18"/>
        </w:rPr>
        <w:t>R277-722-6.  Diploma and Official Transcripts.</w:t>
      </w:r>
    </w:p>
    <w:p w14:paraId="2DD02566" w14:textId="77777777" w:rsidR="008C1F3D" w:rsidRPr="008E031B" w:rsidRDefault="008C1F3D" w:rsidP="008C1F3D">
      <w:pPr>
        <w:widowControl/>
        <w:suppressAutoHyphens/>
        <w:rPr>
          <w:rFonts w:eastAsia="Calibri"/>
          <w:sz w:val="18"/>
        </w:rPr>
      </w:pPr>
      <w:r w:rsidRPr="008E031B">
        <w:rPr>
          <w:rFonts w:eastAsia="Calibri"/>
          <w:sz w:val="18"/>
        </w:rPr>
        <w:tab/>
        <w:t>(1)  Upon successful completion of the FGP and all LEA graduation requirements, an FGP student shall:</w:t>
      </w:r>
    </w:p>
    <w:p w14:paraId="25378EA7" w14:textId="77777777" w:rsidR="008C1F3D" w:rsidRPr="008E031B" w:rsidRDefault="008C1F3D" w:rsidP="008C1F3D">
      <w:pPr>
        <w:widowControl/>
        <w:suppressAutoHyphens/>
        <w:rPr>
          <w:rFonts w:eastAsia="Calibri"/>
          <w:sz w:val="18"/>
        </w:rPr>
      </w:pPr>
      <w:r w:rsidRPr="008E031B">
        <w:rPr>
          <w:rFonts w:eastAsia="Calibri"/>
          <w:sz w:val="18"/>
        </w:rPr>
        <w:tab/>
        <w:t>(a)  be awarded a traditional high school diploma; and</w:t>
      </w:r>
    </w:p>
    <w:p w14:paraId="5F6852EA" w14:textId="77777777" w:rsidR="008C1F3D" w:rsidRPr="008E031B" w:rsidRDefault="008C1F3D" w:rsidP="008C1F3D">
      <w:pPr>
        <w:widowControl/>
        <w:suppressAutoHyphens/>
        <w:rPr>
          <w:rFonts w:eastAsia="Calibri"/>
          <w:sz w:val="18"/>
        </w:rPr>
      </w:pPr>
      <w:r w:rsidRPr="008E031B">
        <w:rPr>
          <w:rFonts w:eastAsia="Calibri"/>
          <w:sz w:val="18"/>
        </w:rPr>
        <w:tab/>
        <w:t>(b)  be eligible to participate in graduation ceremonies.</w:t>
      </w:r>
    </w:p>
    <w:p w14:paraId="4041C854" w14:textId="77777777" w:rsidR="008C1F3D" w:rsidRPr="008E031B" w:rsidRDefault="008C1F3D" w:rsidP="008C1F3D">
      <w:pPr>
        <w:widowControl/>
        <w:suppressAutoHyphens/>
        <w:rPr>
          <w:rFonts w:eastAsia="Calibri"/>
          <w:sz w:val="18"/>
        </w:rPr>
      </w:pPr>
      <w:r w:rsidRPr="008E031B">
        <w:rPr>
          <w:rFonts w:eastAsia="Calibri"/>
          <w:sz w:val="18"/>
        </w:rPr>
        <w:tab/>
        <w:t>(2)  An FGP student shall be eligible for the Seal of Biliteracy if:</w:t>
      </w:r>
    </w:p>
    <w:p w14:paraId="36AF18E1" w14:textId="77777777" w:rsidR="008C1F3D" w:rsidRPr="008E031B" w:rsidRDefault="008C1F3D" w:rsidP="008C1F3D">
      <w:pPr>
        <w:widowControl/>
        <w:suppressAutoHyphens/>
        <w:rPr>
          <w:rFonts w:eastAsia="Calibri"/>
          <w:sz w:val="18"/>
        </w:rPr>
      </w:pPr>
      <w:r w:rsidRPr="008E031B">
        <w:rPr>
          <w:rFonts w:eastAsia="Calibri"/>
          <w:sz w:val="18"/>
        </w:rPr>
        <w:tab/>
        <w:t>(a)  the student has completed the GED exam in English; and</w:t>
      </w:r>
    </w:p>
    <w:p w14:paraId="765A4BD2" w14:textId="77777777" w:rsidR="008C1F3D" w:rsidRPr="008E031B" w:rsidRDefault="008C1F3D" w:rsidP="008C1F3D">
      <w:pPr>
        <w:widowControl/>
        <w:suppressAutoHyphens/>
        <w:rPr>
          <w:rFonts w:eastAsia="Calibri"/>
          <w:sz w:val="18"/>
        </w:rPr>
      </w:pPr>
      <w:r w:rsidRPr="008E031B">
        <w:rPr>
          <w:rFonts w:eastAsia="Calibri"/>
          <w:sz w:val="18"/>
        </w:rPr>
        <w:tab/>
        <w:t>(b)  has fulfilled all requirements as outlined in Rule R277-499.</w:t>
      </w:r>
    </w:p>
    <w:p w14:paraId="011BC090" w14:textId="77777777" w:rsidR="008C1F3D" w:rsidRPr="008E031B" w:rsidRDefault="008C1F3D" w:rsidP="008C1F3D">
      <w:pPr>
        <w:widowControl/>
        <w:suppressAutoHyphens/>
        <w:rPr>
          <w:rFonts w:eastAsia="Calibri"/>
          <w:sz w:val="18"/>
        </w:rPr>
      </w:pPr>
    </w:p>
    <w:p w14:paraId="20B6FECD" w14:textId="77777777" w:rsidR="008C1F3D" w:rsidRPr="008E031B" w:rsidRDefault="008C1F3D" w:rsidP="008C1F3D">
      <w:pPr>
        <w:widowControl/>
        <w:suppressAutoHyphens/>
        <w:rPr>
          <w:rFonts w:eastAsia="Calibri"/>
          <w:sz w:val="18"/>
        </w:rPr>
      </w:pPr>
      <w:r w:rsidRPr="008E031B">
        <w:rPr>
          <w:rFonts w:eastAsia="Calibri"/>
          <w:b/>
          <w:bCs/>
          <w:sz w:val="18"/>
        </w:rPr>
        <w:t>R277-722-7.  Superintendent Oversight and Evaluation.</w:t>
      </w:r>
    </w:p>
    <w:p w14:paraId="2759B194" w14:textId="77777777" w:rsidR="008C1F3D" w:rsidRPr="008E031B" w:rsidRDefault="008C1F3D" w:rsidP="008C1F3D">
      <w:pPr>
        <w:widowControl/>
        <w:suppressAutoHyphens/>
        <w:rPr>
          <w:rFonts w:eastAsia="Calibri"/>
          <w:sz w:val="18"/>
        </w:rPr>
      </w:pPr>
      <w:r w:rsidRPr="008E031B">
        <w:rPr>
          <w:rFonts w:eastAsia="Calibri"/>
          <w:sz w:val="18"/>
        </w:rPr>
        <w:tab/>
        <w:t>(1)  The Superintendent shall designate a specialist to:</w:t>
      </w:r>
    </w:p>
    <w:p w14:paraId="36FE3519" w14:textId="77777777" w:rsidR="008C1F3D" w:rsidRPr="008E031B" w:rsidRDefault="008C1F3D" w:rsidP="008C1F3D">
      <w:pPr>
        <w:widowControl/>
        <w:suppressAutoHyphens/>
        <w:rPr>
          <w:rFonts w:eastAsia="Calibri"/>
          <w:sz w:val="18"/>
        </w:rPr>
      </w:pPr>
      <w:r w:rsidRPr="008E031B">
        <w:rPr>
          <w:rFonts w:eastAsia="Calibri"/>
          <w:sz w:val="18"/>
        </w:rPr>
        <w:tab/>
        <w:t>(a)  oversee the FGP;</w:t>
      </w:r>
    </w:p>
    <w:p w14:paraId="5147D65C" w14:textId="77777777" w:rsidR="008C1F3D" w:rsidRPr="008E031B" w:rsidRDefault="008C1F3D" w:rsidP="008C1F3D">
      <w:pPr>
        <w:widowControl/>
        <w:suppressAutoHyphens/>
        <w:rPr>
          <w:rFonts w:eastAsia="Calibri"/>
          <w:sz w:val="18"/>
        </w:rPr>
      </w:pPr>
      <w:r w:rsidRPr="008E031B">
        <w:rPr>
          <w:rFonts w:eastAsia="Calibri"/>
          <w:sz w:val="18"/>
        </w:rPr>
        <w:tab/>
        <w:t>(b)  provide technical assistance; and</w:t>
      </w:r>
    </w:p>
    <w:p w14:paraId="4BF77A83" w14:textId="77777777" w:rsidR="008C1F3D" w:rsidRPr="008E031B" w:rsidRDefault="008C1F3D" w:rsidP="008C1F3D">
      <w:pPr>
        <w:widowControl/>
        <w:suppressAutoHyphens/>
        <w:rPr>
          <w:rFonts w:eastAsia="Calibri"/>
          <w:sz w:val="18"/>
        </w:rPr>
      </w:pPr>
      <w:r w:rsidRPr="008E031B">
        <w:rPr>
          <w:rFonts w:eastAsia="Calibri"/>
          <w:sz w:val="18"/>
        </w:rPr>
        <w:tab/>
        <w:t>(c)  monitor program implementation and outcomes.</w:t>
      </w:r>
    </w:p>
    <w:p w14:paraId="7023CD6D" w14:textId="77777777" w:rsidR="008C1F3D" w:rsidRPr="008E031B" w:rsidRDefault="008C1F3D" w:rsidP="008C1F3D">
      <w:pPr>
        <w:widowControl/>
        <w:suppressAutoHyphens/>
        <w:rPr>
          <w:rFonts w:eastAsia="Calibri"/>
          <w:sz w:val="18"/>
        </w:rPr>
      </w:pPr>
      <w:r w:rsidRPr="008E031B">
        <w:rPr>
          <w:rFonts w:eastAsia="Calibri"/>
          <w:sz w:val="18"/>
        </w:rPr>
        <w:tab/>
        <w:t>(2)  The Superintendent may withdraw approval for a school to participate in the FGP for noncompliance with board rule.</w:t>
      </w:r>
    </w:p>
    <w:p w14:paraId="288CC6A2" w14:textId="77777777" w:rsidR="008C1F3D" w:rsidRPr="008E031B" w:rsidRDefault="008C1F3D" w:rsidP="008C1F3D">
      <w:pPr>
        <w:widowControl/>
        <w:suppressAutoHyphens/>
        <w:rPr>
          <w:sz w:val="18"/>
        </w:rPr>
      </w:pPr>
    </w:p>
    <w:p w14:paraId="3BAD0E64" w14:textId="77777777" w:rsidR="008C1F3D" w:rsidRPr="008E031B" w:rsidRDefault="008C1F3D" w:rsidP="008C1F3D">
      <w:pPr>
        <w:widowControl/>
        <w:suppressAutoHyphens/>
        <w:rPr>
          <w:rFonts w:eastAsia="Calibri"/>
          <w:sz w:val="18"/>
        </w:rPr>
      </w:pPr>
      <w:r w:rsidRPr="008E031B">
        <w:rPr>
          <w:rFonts w:eastAsia="Calibri"/>
          <w:b/>
          <w:bCs/>
          <w:sz w:val="18"/>
        </w:rPr>
        <w:t>KEY:  focused graduation pathway, educational testing, student competency</w:t>
      </w:r>
    </w:p>
    <w:p w14:paraId="790DEE7D" w14:textId="487E6195" w:rsidR="008C1F3D" w:rsidRPr="008E031B" w:rsidRDefault="008C1F3D" w:rsidP="008C1F3D">
      <w:pPr>
        <w:widowControl/>
        <w:suppressAutoHyphens/>
        <w:rPr>
          <w:rFonts w:eastAsia="Calibri"/>
          <w:bCs/>
          <w:sz w:val="18"/>
        </w:rPr>
      </w:pPr>
      <w:r w:rsidRPr="008E031B">
        <w:rPr>
          <w:rFonts w:eastAsia="Calibri"/>
          <w:b/>
          <w:bCs/>
          <w:sz w:val="18"/>
        </w:rPr>
        <w:t xml:space="preserve">Date of Last Change:  </w:t>
      </w:r>
      <w:r w:rsidR="006F0193" w:rsidRPr="008E031B">
        <w:rPr>
          <w:rFonts w:eastAsia="Calibri"/>
          <w:b/>
          <w:bCs/>
          <w:sz w:val="18"/>
        </w:rPr>
        <w:t xml:space="preserve">February 7, </w:t>
      </w:r>
      <w:r w:rsidRPr="008E031B">
        <w:rPr>
          <w:rFonts w:eastAsia="Calibri"/>
          <w:b/>
          <w:bCs/>
          <w:sz w:val="18"/>
        </w:rPr>
        <w:t>2025</w:t>
      </w:r>
    </w:p>
    <w:p w14:paraId="26831B49" w14:textId="77777777" w:rsidR="008C1F3D" w:rsidRPr="008E031B" w:rsidRDefault="008C1F3D" w:rsidP="008C1F3D">
      <w:pPr>
        <w:widowControl/>
        <w:suppressAutoHyphens/>
        <w:rPr>
          <w:rFonts w:eastAsia="Calibri"/>
          <w:sz w:val="18"/>
        </w:rPr>
      </w:pPr>
      <w:r w:rsidRPr="008E031B">
        <w:rPr>
          <w:rFonts w:eastAsia="Calibri"/>
          <w:b/>
          <w:sz w:val="18"/>
        </w:rPr>
        <w:t>Authorizing, and Implemented or Interpreted Law:  Art X Sec 3; 53E-3-501(1)(b); 53E-3-401</w:t>
      </w:r>
    </w:p>
    <w:p w14:paraId="0EBA8C53" w14:textId="77777777" w:rsidR="008C1F3D" w:rsidRPr="008E031B" w:rsidRDefault="008C1F3D" w:rsidP="008C1F3D">
      <w:pPr>
        <w:widowControl/>
        <w:suppressAutoHyphens/>
        <w:rPr>
          <w:rFonts w:eastAsia="Calibri"/>
          <w:sz w:val="18"/>
        </w:rPr>
      </w:pPr>
    </w:p>
    <w:p w14:paraId="5D48AF9D" w14:textId="617EBD25" w:rsidR="00574E04" w:rsidRPr="008E031B" w:rsidRDefault="00574E04" w:rsidP="008C1F3D">
      <w:pPr>
        <w:widowControl/>
        <w:suppressAutoHyphens/>
        <w:rPr>
          <w:rStyle w:val="s1"/>
          <w:spacing w:val="0"/>
          <w:sz w:val="18"/>
        </w:rPr>
      </w:pPr>
    </w:p>
    <w:sectPr w:rsidR="00574E04" w:rsidRPr="008E031B" w:rsidSect="008E031B">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A35248" w14:textId="77777777" w:rsidR="00FE594B" w:rsidRDefault="00FE594B" w:rsidP="00C17968">
      <w:r>
        <w:separator/>
      </w:r>
    </w:p>
  </w:endnote>
  <w:endnote w:type="continuationSeparator" w:id="0">
    <w:p w14:paraId="76D927DD" w14:textId="77777777" w:rsidR="00FE594B" w:rsidRDefault="00FE594B"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A2F32B" w14:textId="77777777" w:rsidR="00FE594B" w:rsidRDefault="00FE594B" w:rsidP="00C17968">
      <w:r>
        <w:separator/>
      </w:r>
    </w:p>
  </w:footnote>
  <w:footnote w:type="continuationSeparator" w:id="0">
    <w:p w14:paraId="6F2CA17C" w14:textId="77777777" w:rsidR="00FE594B" w:rsidRDefault="00FE594B"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2549"/>
    <w:rsid w:val="00002F67"/>
    <w:rsid w:val="0000533D"/>
    <w:rsid w:val="000053C2"/>
    <w:rsid w:val="000069A9"/>
    <w:rsid w:val="0000782E"/>
    <w:rsid w:val="00027A64"/>
    <w:rsid w:val="0003198B"/>
    <w:rsid w:val="00050AB6"/>
    <w:rsid w:val="0005628D"/>
    <w:rsid w:val="00083289"/>
    <w:rsid w:val="00086A4C"/>
    <w:rsid w:val="00092D64"/>
    <w:rsid w:val="000A63C1"/>
    <w:rsid w:val="000B0C8F"/>
    <w:rsid w:val="000B5125"/>
    <w:rsid w:val="000C36DF"/>
    <w:rsid w:val="000C3C78"/>
    <w:rsid w:val="000E034A"/>
    <w:rsid w:val="000E7CDD"/>
    <w:rsid w:val="000F230C"/>
    <w:rsid w:val="001011C7"/>
    <w:rsid w:val="00101FCF"/>
    <w:rsid w:val="00102BB0"/>
    <w:rsid w:val="001031EE"/>
    <w:rsid w:val="00117F2A"/>
    <w:rsid w:val="00124472"/>
    <w:rsid w:val="001334D7"/>
    <w:rsid w:val="00134298"/>
    <w:rsid w:val="00136C69"/>
    <w:rsid w:val="00136E6B"/>
    <w:rsid w:val="00140B4F"/>
    <w:rsid w:val="001419F1"/>
    <w:rsid w:val="00143340"/>
    <w:rsid w:val="00151B36"/>
    <w:rsid w:val="001641A3"/>
    <w:rsid w:val="001722D7"/>
    <w:rsid w:val="001769DF"/>
    <w:rsid w:val="0018100B"/>
    <w:rsid w:val="00195C7A"/>
    <w:rsid w:val="001A2B41"/>
    <w:rsid w:val="001B1B40"/>
    <w:rsid w:val="001C3DAB"/>
    <w:rsid w:val="001D0BCD"/>
    <w:rsid w:val="001D71AE"/>
    <w:rsid w:val="001E253C"/>
    <w:rsid w:val="001F78BA"/>
    <w:rsid w:val="00210E2C"/>
    <w:rsid w:val="00214BA0"/>
    <w:rsid w:val="00226138"/>
    <w:rsid w:val="00250B69"/>
    <w:rsid w:val="00253C3B"/>
    <w:rsid w:val="00256032"/>
    <w:rsid w:val="00260EB8"/>
    <w:rsid w:val="002639EB"/>
    <w:rsid w:val="00266359"/>
    <w:rsid w:val="00272D20"/>
    <w:rsid w:val="002816AB"/>
    <w:rsid w:val="00282CAA"/>
    <w:rsid w:val="00291DCA"/>
    <w:rsid w:val="00296B2B"/>
    <w:rsid w:val="00297523"/>
    <w:rsid w:val="002A612E"/>
    <w:rsid w:val="002B5227"/>
    <w:rsid w:val="002B675D"/>
    <w:rsid w:val="002B721A"/>
    <w:rsid w:val="002B7257"/>
    <w:rsid w:val="002C31EE"/>
    <w:rsid w:val="002D4474"/>
    <w:rsid w:val="002D6081"/>
    <w:rsid w:val="002E6F38"/>
    <w:rsid w:val="002F07CE"/>
    <w:rsid w:val="002F45BF"/>
    <w:rsid w:val="003121D3"/>
    <w:rsid w:val="00315FCA"/>
    <w:rsid w:val="00316A41"/>
    <w:rsid w:val="003217E6"/>
    <w:rsid w:val="00327285"/>
    <w:rsid w:val="00332F5B"/>
    <w:rsid w:val="00335956"/>
    <w:rsid w:val="0033622C"/>
    <w:rsid w:val="00337E38"/>
    <w:rsid w:val="00342459"/>
    <w:rsid w:val="00352966"/>
    <w:rsid w:val="00354AD4"/>
    <w:rsid w:val="00373FE5"/>
    <w:rsid w:val="00380D52"/>
    <w:rsid w:val="003A5227"/>
    <w:rsid w:val="003B6116"/>
    <w:rsid w:val="003C1A38"/>
    <w:rsid w:val="003C21C5"/>
    <w:rsid w:val="003D265A"/>
    <w:rsid w:val="003D3934"/>
    <w:rsid w:val="003D601B"/>
    <w:rsid w:val="003E042C"/>
    <w:rsid w:val="003E07E1"/>
    <w:rsid w:val="003E32EB"/>
    <w:rsid w:val="003E5B65"/>
    <w:rsid w:val="003E6785"/>
    <w:rsid w:val="003F64A7"/>
    <w:rsid w:val="003F6A4F"/>
    <w:rsid w:val="00402912"/>
    <w:rsid w:val="00403755"/>
    <w:rsid w:val="004129DD"/>
    <w:rsid w:val="0041447A"/>
    <w:rsid w:val="00414E0D"/>
    <w:rsid w:val="00430473"/>
    <w:rsid w:val="004423A3"/>
    <w:rsid w:val="00457B35"/>
    <w:rsid w:val="00462360"/>
    <w:rsid w:val="00464156"/>
    <w:rsid w:val="00464B69"/>
    <w:rsid w:val="00465A08"/>
    <w:rsid w:val="0047022A"/>
    <w:rsid w:val="00473DC4"/>
    <w:rsid w:val="00476E25"/>
    <w:rsid w:val="004803F6"/>
    <w:rsid w:val="00486665"/>
    <w:rsid w:val="004A031A"/>
    <w:rsid w:val="004A42D0"/>
    <w:rsid w:val="004B7F3B"/>
    <w:rsid w:val="004C20EA"/>
    <w:rsid w:val="004C4015"/>
    <w:rsid w:val="004D30DD"/>
    <w:rsid w:val="004D328F"/>
    <w:rsid w:val="004F775D"/>
    <w:rsid w:val="005003FA"/>
    <w:rsid w:val="00516E14"/>
    <w:rsid w:val="0052356A"/>
    <w:rsid w:val="00533FAD"/>
    <w:rsid w:val="00534A30"/>
    <w:rsid w:val="0054563F"/>
    <w:rsid w:val="00550F3B"/>
    <w:rsid w:val="00551480"/>
    <w:rsid w:val="0055444C"/>
    <w:rsid w:val="00554BE6"/>
    <w:rsid w:val="005556D4"/>
    <w:rsid w:val="00556B90"/>
    <w:rsid w:val="00556EA8"/>
    <w:rsid w:val="00563DBC"/>
    <w:rsid w:val="0057263E"/>
    <w:rsid w:val="005732E8"/>
    <w:rsid w:val="00574132"/>
    <w:rsid w:val="00574C6B"/>
    <w:rsid w:val="00574E04"/>
    <w:rsid w:val="005763F5"/>
    <w:rsid w:val="00583378"/>
    <w:rsid w:val="00586340"/>
    <w:rsid w:val="005879FB"/>
    <w:rsid w:val="00590A1B"/>
    <w:rsid w:val="00590D6C"/>
    <w:rsid w:val="00590FE4"/>
    <w:rsid w:val="00594E8B"/>
    <w:rsid w:val="005960C4"/>
    <w:rsid w:val="005A463F"/>
    <w:rsid w:val="005A6E0E"/>
    <w:rsid w:val="005A7398"/>
    <w:rsid w:val="005B4EE0"/>
    <w:rsid w:val="005C024A"/>
    <w:rsid w:val="005C0B56"/>
    <w:rsid w:val="005C6080"/>
    <w:rsid w:val="005D674B"/>
    <w:rsid w:val="005D6A7E"/>
    <w:rsid w:val="005F2192"/>
    <w:rsid w:val="005F64B7"/>
    <w:rsid w:val="005F7305"/>
    <w:rsid w:val="00611CA4"/>
    <w:rsid w:val="0061616E"/>
    <w:rsid w:val="006163DB"/>
    <w:rsid w:val="00617D1E"/>
    <w:rsid w:val="006300D0"/>
    <w:rsid w:val="0063088A"/>
    <w:rsid w:val="00631C68"/>
    <w:rsid w:val="006431BE"/>
    <w:rsid w:val="00646433"/>
    <w:rsid w:val="006464C6"/>
    <w:rsid w:val="00646E1C"/>
    <w:rsid w:val="00653D1F"/>
    <w:rsid w:val="006604BD"/>
    <w:rsid w:val="006661C3"/>
    <w:rsid w:val="006667C3"/>
    <w:rsid w:val="00680BDE"/>
    <w:rsid w:val="00682427"/>
    <w:rsid w:val="0069040D"/>
    <w:rsid w:val="006936DF"/>
    <w:rsid w:val="00693F54"/>
    <w:rsid w:val="00695614"/>
    <w:rsid w:val="006A3F24"/>
    <w:rsid w:val="006A7D14"/>
    <w:rsid w:val="006B70AF"/>
    <w:rsid w:val="006C0AE5"/>
    <w:rsid w:val="006C0BD4"/>
    <w:rsid w:val="006C6E4F"/>
    <w:rsid w:val="006D167F"/>
    <w:rsid w:val="006E5446"/>
    <w:rsid w:val="006F0193"/>
    <w:rsid w:val="006F52F4"/>
    <w:rsid w:val="007047A1"/>
    <w:rsid w:val="007071C7"/>
    <w:rsid w:val="00713104"/>
    <w:rsid w:val="00715301"/>
    <w:rsid w:val="00716F7B"/>
    <w:rsid w:val="007231FC"/>
    <w:rsid w:val="00723781"/>
    <w:rsid w:val="00723BDF"/>
    <w:rsid w:val="007301E7"/>
    <w:rsid w:val="007306E6"/>
    <w:rsid w:val="00736DC2"/>
    <w:rsid w:val="00753C35"/>
    <w:rsid w:val="007613E9"/>
    <w:rsid w:val="00762B0F"/>
    <w:rsid w:val="00762BDA"/>
    <w:rsid w:val="00765FF9"/>
    <w:rsid w:val="007706AB"/>
    <w:rsid w:val="00772653"/>
    <w:rsid w:val="00796BA5"/>
    <w:rsid w:val="007A1FEA"/>
    <w:rsid w:val="007A36A9"/>
    <w:rsid w:val="007A4B28"/>
    <w:rsid w:val="007A55B6"/>
    <w:rsid w:val="007B6C82"/>
    <w:rsid w:val="007D0B87"/>
    <w:rsid w:val="007D1F9D"/>
    <w:rsid w:val="007F2229"/>
    <w:rsid w:val="008315F8"/>
    <w:rsid w:val="008325A0"/>
    <w:rsid w:val="00835660"/>
    <w:rsid w:val="00840B24"/>
    <w:rsid w:val="00844B36"/>
    <w:rsid w:val="008513AF"/>
    <w:rsid w:val="008559BC"/>
    <w:rsid w:val="008637F2"/>
    <w:rsid w:val="008705CB"/>
    <w:rsid w:val="00875D1A"/>
    <w:rsid w:val="008829AB"/>
    <w:rsid w:val="00890A1F"/>
    <w:rsid w:val="008A0EA0"/>
    <w:rsid w:val="008B0B8A"/>
    <w:rsid w:val="008C0524"/>
    <w:rsid w:val="008C1F3D"/>
    <w:rsid w:val="008D451E"/>
    <w:rsid w:val="008D6C4B"/>
    <w:rsid w:val="008E031B"/>
    <w:rsid w:val="008E2975"/>
    <w:rsid w:val="008E7D9B"/>
    <w:rsid w:val="0091275F"/>
    <w:rsid w:val="009174AF"/>
    <w:rsid w:val="009226D8"/>
    <w:rsid w:val="00922D61"/>
    <w:rsid w:val="009279FD"/>
    <w:rsid w:val="009510CD"/>
    <w:rsid w:val="00964E49"/>
    <w:rsid w:val="0097201A"/>
    <w:rsid w:val="0097546A"/>
    <w:rsid w:val="0098623B"/>
    <w:rsid w:val="0099724C"/>
    <w:rsid w:val="009A2A78"/>
    <w:rsid w:val="009B5790"/>
    <w:rsid w:val="009C0017"/>
    <w:rsid w:val="009C2A6A"/>
    <w:rsid w:val="009E1351"/>
    <w:rsid w:val="009E5ABD"/>
    <w:rsid w:val="00A0145C"/>
    <w:rsid w:val="00A2194C"/>
    <w:rsid w:val="00A25917"/>
    <w:rsid w:val="00A2684B"/>
    <w:rsid w:val="00A37949"/>
    <w:rsid w:val="00A41D37"/>
    <w:rsid w:val="00A436EF"/>
    <w:rsid w:val="00A52209"/>
    <w:rsid w:val="00A6312E"/>
    <w:rsid w:val="00A85190"/>
    <w:rsid w:val="00A93EFE"/>
    <w:rsid w:val="00AA0281"/>
    <w:rsid w:val="00AA649A"/>
    <w:rsid w:val="00AB0BE0"/>
    <w:rsid w:val="00AB5714"/>
    <w:rsid w:val="00AC2734"/>
    <w:rsid w:val="00AC60A3"/>
    <w:rsid w:val="00AD5BF8"/>
    <w:rsid w:val="00AE3E55"/>
    <w:rsid w:val="00AF1519"/>
    <w:rsid w:val="00B0160D"/>
    <w:rsid w:val="00B05550"/>
    <w:rsid w:val="00B10840"/>
    <w:rsid w:val="00B132A1"/>
    <w:rsid w:val="00B1423E"/>
    <w:rsid w:val="00B27B3D"/>
    <w:rsid w:val="00B30E40"/>
    <w:rsid w:val="00B33105"/>
    <w:rsid w:val="00B33858"/>
    <w:rsid w:val="00B41350"/>
    <w:rsid w:val="00B533E2"/>
    <w:rsid w:val="00B57DEE"/>
    <w:rsid w:val="00B606F6"/>
    <w:rsid w:val="00B61024"/>
    <w:rsid w:val="00B62A8D"/>
    <w:rsid w:val="00B66C14"/>
    <w:rsid w:val="00B67C05"/>
    <w:rsid w:val="00B845BC"/>
    <w:rsid w:val="00B974B0"/>
    <w:rsid w:val="00BC5E52"/>
    <w:rsid w:val="00BD38D5"/>
    <w:rsid w:val="00BD79A7"/>
    <w:rsid w:val="00BE169F"/>
    <w:rsid w:val="00BE6E0F"/>
    <w:rsid w:val="00C07C48"/>
    <w:rsid w:val="00C14C5B"/>
    <w:rsid w:val="00C17425"/>
    <w:rsid w:val="00C17968"/>
    <w:rsid w:val="00C17B64"/>
    <w:rsid w:val="00C2383B"/>
    <w:rsid w:val="00C26081"/>
    <w:rsid w:val="00C339A4"/>
    <w:rsid w:val="00C34520"/>
    <w:rsid w:val="00C4256B"/>
    <w:rsid w:val="00C42A03"/>
    <w:rsid w:val="00C475B6"/>
    <w:rsid w:val="00C51D1B"/>
    <w:rsid w:val="00C66633"/>
    <w:rsid w:val="00C67105"/>
    <w:rsid w:val="00C7075A"/>
    <w:rsid w:val="00C800D0"/>
    <w:rsid w:val="00C864C3"/>
    <w:rsid w:val="00C9588C"/>
    <w:rsid w:val="00CA2A17"/>
    <w:rsid w:val="00CA4226"/>
    <w:rsid w:val="00CA4306"/>
    <w:rsid w:val="00CB214B"/>
    <w:rsid w:val="00CC1DE2"/>
    <w:rsid w:val="00CC2F8D"/>
    <w:rsid w:val="00CD6B93"/>
    <w:rsid w:val="00CE41EB"/>
    <w:rsid w:val="00CE4429"/>
    <w:rsid w:val="00CE4EB2"/>
    <w:rsid w:val="00CF36B3"/>
    <w:rsid w:val="00D01884"/>
    <w:rsid w:val="00D06A99"/>
    <w:rsid w:val="00D13680"/>
    <w:rsid w:val="00D20BE6"/>
    <w:rsid w:val="00D222F2"/>
    <w:rsid w:val="00D22416"/>
    <w:rsid w:val="00D2400F"/>
    <w:rsid w:val="00D26D4A"/>
    <w:rsid w:val="00D2733A"/>
    <w:rsid w:val="00D31690"/>
    <w:rsid w:val="00D330D2"/>
    <w:rsid w:val="00D33650"/>
    <w:rsid w:val="00D41554"/>
    <w:rsid w:val="00D416E4"/>
    <w:rsid w:val="00D41ABA"/>
    <w:rsid w:val="00D4631A"/>
    <w:rsid w:val="00D66564"/>
    <w:rsid w:val="00D7536A"/>
    <w:rsid w:val="00D76607"/>
    <w:rsid w:val="00D7747A"/>
    <w:rsid w:val="00D841FF"/>
    <w:rsid w:val="00D90B75"/>
    <w:rsid w:val="00D97919"/>
    <w:rsid w:val="00DA783E"/>
    <w:rsid w:val="00DB792C"/>
    <w:rsid w:val="00DC0B97"/>
    <w:rsid w:val="00DC51B5"/>
    <w:rsid w:val="00DC6C75"/>
    <w:rsid w:val="00DD43B7"/>
    <w:rsid w:val="00DE4AAB"/>
    <w:rsid w:val="00DF530D"/>
    <w:rsid w:val="00E01028"/>
    <w:rsid w:val="00E06657"/>
    <w:rsid w:val="00E21E9B"/>
    <w:rsid w:val="00E24916"/>
    <w:rsid w:val="00E3259D"/>
    <w:rsid w:val="00E33057"/>
    <w:rsid w:val="00E33275"/>
    <w:rsid w:val="00E420E2"/>
    <w:rsid w:val="00E438AE"/>
    <w:rsid w:val="00E47AD5"/>
    <w:rsid w:val="00E52C8D"/>
    <w:rsid w:val="00E536BE"/>
    <w:rsid w:val="00E56D58"/>
    <w:rsid w:val="00E5737F"/>
    <w:rsid w:val="00E62DBC"/>
    <w:rsid w:val="00E71631"/>
    <w:rsid w:val="00E71E51"/>
    <w:rsid w:val="00E80718"/>
    <w:rsid w:val="00E91C27"/>
    <w:rsid w:val="00E945AC"/>
    <w:rsid w:val="00EB0212"/>
    <w:rsid w:val="00EB2DED"/>
    <w:rsid w:val="00EB3A1A"/>
    <w:rsid w:val="00EB3D35"/>
    <w:rsid w:val="00EC01D2"/>
    <w:rsid w:val="00EC7C9D"/>
    <w:rsid w:val="00EE6D3C"/>
    <w:rsid w:val="00EF3022"/>
    <w:rsid w:val="00F076E8"/>
    <w:rsid w:val="00F1268F"/>
    <w:rsid w:val="00F136AB"/>
    <w:rsid w:val="00F13E00"/>
    <w:rsid w:val="00F278A7"/>
    <w:rsid w:val="00F31687"/>
    <w:rsid w:val="00F35997"/>
    <w:rsid w:val="00F40EA6"/>
    <w:rsid w:val="00F42C14"/>
    <w:rsid w:val="00F700BD"/>
    <w:rsid w:val="00F72AC8"/>
    <w:rsid w:val="00F7362E"/>
    <w:rsid w:val="00F77018"/>
    <w:rsid w:val="00F87DE9"/>
    <w:rsid w:val="00F91CB5"/>
    <w:rsid w:val="00F938CA"/>
    <w:rsid w:val="00F95ADD"/>
    <w:rsid w:val="00F96E65"/>
    <w:rsid w:val="00FB3317"/>
    <w:rsid w:val="00FB341C"/>
    <w:rsid w:val="00FB4E7B"/>
    <w:rsid w:val="00FC69B8"/>
    <w:rsid w:val="00FE124E"/>
    <w:rsid w:val="00FE594B"/>
    <w:rsid w:val="00FE6AC7"/>
    <w:rsid w:val="00FF0B6E"/>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styleId="UnresolvedMention">
    <w:name w:val="Unresolved Mention"/>
    <w:basedOn w:val="DefaultParagraphFont"/>
    <w:uiPriority w:val="99"/>
    <w:semiHidden/>
    <w:unhideWhenUsed/>
    <w:rsid w:val="006464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872</Words>
  <Characters>4975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5836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2025-02-11T18:50:00Z</dcterms:created>
  <dcterms:modified xsi:type="dcterms:W3CDTF">2025-02-11T18:50:00Z</dcterms:modified>
</cp:coreProperties>
</file>