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4F4027" w14:textId="77777777" w:rsidR="00DD11D5" w:rsidRPr="00C26E2D" w:rsidRDefault="00DD11D5" w:rsidP="00DD11D5">
      <w:pPr>
        <w:widowControl/>
        <w:shd w:val="clear" w:color="auto" w:fill="FFFFFF"/>
        <w:suppressAutoHyphens/>
        <w:rPr>
          <w:sz w:val="18"/>
          <w:szCs w:val="22"/>
        </w:rPr>
      </w:pPr>
      <w:r w:rsidRPr="00C26E2D">
        <w:rPr>
          <w:b/>
          <w:sz w:val="18"/>
        </w:rPr>
        <w:t>R436.  Health and Human Services, Data, Systems, and Evaluation, Vital Records and Statistics.</w:t>
      </w:r>
    </w:p>
    <w:p w14:paraId="175CE6FF" w14:textId="77777777" w:rsidR="00DD11D5" w:rsidRPr="00C26E2D" w:rsidRDefault="00DD11D5" w:rsidP="00DD11D5">
      <w:pPr>
        <w:widowControl/>
        <w:shd w:val="clear" w:color="auto" w:fill="FFFFFF"/>
        <w:suppressAutoHyphens/>
        <w:rPr>
          <w:sz w:val="18"/>
          <w:szCs w:val="22"/>
        </w:rPr>
      </w:pPr>
      <w:r w:rsidRPr="00C26E2D">
        <w:rPr>
          <w:b/>
          <w:sz w:val="18"/>
        </w:rPr>
        <w:t>R436-7.  Death Registration.</w:t>
      </w:r>
    </w:p>
    <w:p w14:paraId="62167B68" w14:textId="1C66BC39" w:rsidR="00DD11D5" w:rsidRPr="00C26E2D" w:rsidRDefault="00DD11D5" w:rsidP="00DD11D5">
      <w:pPr>
        <w:widowControl/>
        <w:shd w:val="clear" w:color="auto" w:fill="FFFFFF"/>
        <w:suppressAutoHyphens/>
        <w:rPr>
          <w:sz w:val="18"/>
          <w:szCs w:val="22"/>
        </w:rPr>
      </w:pPr>
      <w:r w:rsidRPr="00C26E2D">
        <w:rPr>
          <w:b/>
          <w:sz w:val="18"/>
        </w:rPr>
        <w:t>R436-7-1.  Authority and Purpose.</w:t>
      </w:r>
    </w:p>
    <w:p w14:paraId="13893C85" w14:textId="77777777" w:rsidR="00DD11D5" w:rsidRPr="00C26E2D" w:rsidRDefault="00DD11D5" w:rsidP="00DD11D5">
      <w:pPr>
        <w:widowControl/>
        <w:shd w:val="clear" w:color="auto" w:fill="FFFFFF"/>
        <w:suppressAutoHyphens/>
        <w:rPr>
          <w:sz w:val="18"/>
        </w:rPr>
      </w:pPr>
      <w:r w:rsidRPr="00C26E2D">
        <w:rPr>
          <w:sz w:val="18"/>
        </w:rPr>
        <w:tab/>
        <w:t>(1)  Sections 26B-8-101, 26B-8-114, and 26B-8-123 authorize this rule.</w:t>
      </w:r>
    </w:p>
    <w:p w14:paraId="12E377D6" w14:textId="77777777" w:rsidR="00DD11D5" w:rsidRPr="00C26E2D" w:rsidRDefault="00DD11D5" w:rsidP="00DD11D5">
      <w:pPr>
        <w:widowControl/>
        <w:shd w:val="clear" w:color="auto" w:fill="FFFFFF"/>
        <w:suppressAutoHyphens/>
        <w:rPr>
          <w:sz w:val="18"/>
        </w:rPr>
      </w:pPr>
      <w:r w:rsidRPr="00C26E2D">
        <w:rPr>
          <w:sz w:val="18"/>
        </w:rPr>
        <w:tab/>
        <w:t>(2)  This rule sets forth:</w:t>
      </w:r>
    </w:p>
    <w:p w14:paraId="3B790517" w14:textId="77777777" w:rsidR="00DD11D5" w:rsidRPr="00C26E2D" w:rsidRDefault="00DD11D5" w:rsidP="00DD11D5">
      <w:pPr>
        <w:widowControl/>
        <w:shd w:val="clear" w:color="auto" w:fill="FFFFFF"/>
        <w:suppressAutoHyphens/>
        <w:rPr>
          <w:sz w:val="18"/>
        </w:rPr>
      </w:pPr>
      <w:r w:rsidRPr="00C26E2D">
        <w:rPr>
          <w:sz w:val="18"/>
        </w:rPr>
        <w:tab/>
        <w:t>(a)  procedures for the registration of death;</w:t>
      </w:r>
    </w:p>
    <w:p w14:paraId="2CC50D9C" w14:textId="2C4F913A" w:rsidR="00DD11D5" w:rsidRPr="00C26E2D" w:rsidRDefault="00DD11D5" w:rsidP="00DD11D5">
      <w:pPr>
        <w:widowControl/>
        <w:shd w:val="clear" w:color="auto" w:fill="FFFFFF"/>
        <w:suppressAutoHyphens/>
        <w:rPr>
          <w:sz w:val="18"/>
        </w:rPr>
      </w:pPr>
      <w:r w:rsidRPr="00C26E2D">
        <w:rPr>
          <w:sz w:val="18"/>
        </w:rPr>
        <w:tab/>
        <w:t>(b)  the requirements for physicians, physician assistants, certified nurse midwives, and nurse practitioners to certify deaths; and</w:t>
      </w:r>
    </w:p>
    <w:p w14:paraId="2C3E59E0" w14:textId="03833298" w:rsidR="00DD11D5" w:rsidRPr="00C26E2D" w:rsidRDefault="00DD11D5" w:rsidP="00DD11D5">
      <w:pPr>
        <w:widowControl/>
        <w:shd w:val="clear" w:color="auto" w:fill="FFFFFF"/>
        <w:suppressAutoHyphens/>
        <w:rPr>
          <w:sz w:val="18"/>
          <w:szCs w:val="22"/>
        </w:rPr>
      </w:pPr>
      <w:r w:rsidRPr="00C26E2D">
        <w:rPr>
          <w:sz w:val="18"/>
        </w:rPr>
        <w:tab/>
        <w:t>(b)  the responsibility of local registrars to review and register deaths in their area.</w:t>
      </w:r>
    </w:p>
    <w:p w14:paraId="6F0AB366" w14:textId="77777777" w:rsidR="00DD11D5" w:rsidRPr="00C26E2D" w:rsidRDefault="00DD11D5" w:rsidP="00DD11D5">
      <w:pPr>
        <w:widowControl/>
        <w:shd w:val="clear" w:color="auto" w:fill="FFFFFF"/>
        <w:suppressAutoHyphens/>
        <w:rPr>
          <w:sz w:val="18"/>
          <w:szCs w:val="22"/>
        </w:rPr>
      </w:pPr>
    </w:p>
    <w:p w14:paraId="089145C5" w14:textId="5B38A07F" w:rsidR="00DD11D5" w:rsidRPr="00C26E2D" w:rsidRDefault="00DD11D5" w:rsidP="00DD11D5">
      <w:pPr>
        <w:widowControl/>
        <w:shd w:val="clear" w:color="auto" w:fill="FFFFFF"/>
        <w:suppressAutoHyphens/>
        <w:rPr>
          <w:sz w:val="18"/>
        </w:rPr>
      </w:pPr>
      <w:r w:rsidRPr="00C26E2D">
        <w:rPr>
          <w:b/>
          <w:sz w:val="18"/>
        </w:rPr>
        <w:t>R436-7-2.  Registering a Death.</w:t>
      </w:r>
    </w:p>
    <w:p w14:paraId="482E57D4" w14:textId="26721994" w:rsidR="00DD11D5" w:rsidRPr="00C26E2D" w:rsidRDefault="00DD11D5" w:rsidP="00DD11D5">
      <w:pPr>
        <w:widowControl/>
        <w:shd w:val="clear" w:color="auto" w:fill="FFFFFF"/>
        <w:suppressAutoHyphens/>
        <w:rPr>
          <w:sz w:val="18"/>
        </w:rPr>
      </w:pPr>
      <w:r w:rsidRPr="00C26E2D">
        <w:rPr>
          <w:sz w:val="18"/>
        </w:rPr>
        <w:tab/>
        <w:t>(1)  Registration of deaths shall occur within five days measured as 120 hours from the time of death.</w:t>
      </w:r>
    </w:p>
    <w:p w14:paraId="34EC41DF" w14:textId="3CF7F7B9" w:rsidR="00DD11D5" w:rsidRPr="00C26E2D" w:rsidRDefault="00DD11D5" w:rsidP="00DD11D5">
      <w:pPr>
        <w:widowControl/>
        <w:shd w:val="clear" w:color="auto" w:fill="FFFFFF"/>
        <w:suppressAutoHyphens/>
        <w:rPr>
          <w:sz w:val="18"/>
        </w:rPr>
      </w:pPr>
      <w:r w:rsidRPr="00C26E2D">
        <w:rPr>
          <w:sz w:val="18"/>
        </w:rPr>
        <w:tab/>
        <w:t>(2)  A physician, physician assistant, certified nurse midwife, or nurse practitioner shall certify the cause of death in accordance with Section 26B-8-114.</w:t>
      </w:r>
    </w:p>
    <w:p w14:paraId="66A7EA64" w14:textId="3083FB66" w:rsidR="00DD11D5" w:rsidRPr="00C26E2D" w:rsidRDefault="00DD11D5" w:rsidP="00DD11D5">
      <w:pPr>
        <w:widowControl/>
        <w:shd w:val="clear" w:color="auto" w:fill="FFFFFF"/>
        <w:suppressAutoHyphens/>
        <w:rPr>
          <w:sz w:val="18"/>
        </w:rPr>
      </w:pPr>
      <w:r w:rsidRPr="00C26E2D">
        <w:rPr>
          <w:sz w:val="18"/>
        </w:rPr>
        <w:tab/>
        <w:t>(3)  Each physician assistant, certified nurse midwife, and nurse practitioner must complete the Center for Disease Control and Prevention training "Improving Cause of Death Reporting," available through Training and Continuing Education Online (TCEO), before certifying a death.</w:t>
      </w:r>
    </w:p>
    <w:p w14:paraId="52D7EB20" w14:textId="2ED5D939" w:rsidR="00DD11D5" w:rsidRPr="00C26E2D" w:rsidRDefault="00DD11D5" w:rsidP="00DD11D5">
      <w:pPr>
        <w:widowControl/>
        <w:shd w:val="clear" w:color="auto" w:fill="FFFFFF"/>
        <w:suppressAutoHyphens/>
        <w:rPr>
          <w:sz w:val="18"/>
          <w:szCs w:val="22"/>
        </w:rPr>
      </w:pPr>
      <w:r w:rsidRPr="00C26E2D">
        <w:rPr>
          <w:sz w:val="18"/>
        </w:rPr>
        <w:tab/>
        <w:t>(4)  If the information necessary to complete a death registration is not available within the time prescribed for completing the death registration, the funeral director shall complete the death registration with the information that is available.</w:t>
      </w:r>
    </w:p>
    <w:p w14:paraId="4063FA93" w14:textId="7282A379" w:rsidR="00DD11D5" w:rsidRPr="00C26E2D" w:rsidRDefault="00DD11D5" w:rsidP="00DD11D5">
      <w:pPr>
        <w:widowControl/>
        <w:shd w:val="clear" w:color="auto" w:fill="FFFFFF"/>
        <w:suppressAutoHyphens/>
        <w:rPr>
          <w:sz w:val="18"/>
          <w:szCs w:val="22"/>
        </w:rPr>
      </w:pPr>
      <w:r w:rsidRPr="00C26E2D">
        <w:rPr>
          <w:sz w:val="18"/>
        </w:rPr>
        <w:tab/>
        <w:t>(5)  In each case, the medical certification shall be certified in the Vital Records death registration system by the person responsible for that certification.</w:t>
      </w:r>
    </w:p>
    <w:p w14:paraId="5690ABF9" w14:textId="77777777" w:rsidR="00DD11D5" w:rsidRPr="00C26E2D" w:rsidRDefault="00DD11D5" w:rsidP="00DD11D5">
      <w:pPr>
        <w:widowControl/>
        <w:shd w:val="clear" w:color="auto" w:fill="FFFFFF"/>
        <w:suppressAutoHyphens/>
        <w:rPr>
          <w:sz w:val="18"/>
          <w:szCs w:val="22"/>
        </w:rPr>
      </w:pPr>
      <w:r w:rsidRPr="00C26E2D">
        <w:rPr>
          <w:sz w:val="18"/>
        </w:rPr>
        <w:tab/>
        <w:t>(6)  If the cause of death is unknown, undetermined, or pending investigation, the cause of death shall be shown as such on the certificate.</w:t>
      </w:r>
    </w:p>
    <w:p w14:paraId="07224FBE" w14:textId="18C656D7" w:rsidR="00DD11D5" w:rsidRPr="00C26E2D" w:rsidRDefault="00DD11D5" w:rsidP="00DD11D5">
      <w:pPr>
        <w:widowControl/>
        <w:shd w:val="clear" w:color="auto" w:fill="FFFFFF"/>
        <w:suppressAutoHyphens/>
        <w:rPr>
          <w:sz w:val="18"/>
          <w:szCs w:val="22"/>
        </w:rPr>
      </w:pPr>
      <w:r w:rsidRPr="00C26E2D">
        <w:rPr>
          <w:sz w:val="18"/>
        </w:rPr>
        <w:tab/>
        <w:t>(7)  Final disposition of the deceased may not be made until the death is registered or is authorized by the medical examiner.</w:t>
      </w:r>
    </w:p>
    <w:p w14:paraId="4A59EF29" w14:textId="77777777" w:rsidR="00DD11D5" w:rsidRPr="00C26E2D" w:rsidRDefault="00DD11D5" w:rsidP="00DD11D5">
      <w:pPr>
        <w:widowControl/>
        <w:shd w:val="clear" w:color="auto" w:fill="FFFFFF"/>
        <w:suppressAutoHyphens/>
        <w:rPr>
          <w:sz w:val="18"/>
        </w:rPr>
      </w:pPr>
      <w:r w:rsidRPr="00C26E2D">
        <w:rPr>
          <w:sz w:val="18"/>
        </w:rPr>
        <w:tab/>
        <w:t>(8)  An amendment providing the information missing from the original death registration and certificate shall be filed with the State Registrar.</w:t>
      </w:r>
    </w:p>
    <w:p w14:paraId="7738C824" w14:textId="77777777" w:rsidR="00DD11D5" w:rsidRPr="00C26E2D" w:rsidRDefault="00DD11D5" w:rsidP="00DD11D5">
      <w:pPr>
        <w:widowControl/>
        <w:shd w:val="clear" w:color="auto" w:fill="FFFFFF"/>
        <w:suppressAutoHyphens/>
        <w:rPr>
          <w:sz w:val="18"/>
        </w:rPr>
      </w:pPr>
    </w:p>
    <w:p w14:paraId="5862FB85" w14:textId="77777777" w:rsidR="00DD11D5" w:rsidRPr="00C26E2D" w:rsidRDefault="00DD11D5" w:rsidP="00DD11D5">
      <w:pPr>
        <w:widowControl/>
        <w:shd w:val="clear" w:color="auto" w:fill="FFFFFF"/>
        <w:suppressAutoHyphens/>
        <w:rPr>
          <w:sz w:val="18"/>
        </w:rPr>
      </w:pPr>
      <w:r w:rsidRPr="00C26E2D">
        <w:rPr>
          <w:b/>
          <w:sz w:val="18"/>
        </w:rPr>
        <w:t>R436-7-3.  Registration of Certificates by Local Registrars.</w:t>
      </w:r>
    </w:p>
    <w:p w14:paraId="685813A0" w14:textId="77777777" w:rsidR="00DD11D5" w:rsidRPr="00C26E2D" w:rsidRDefault="00DD11D5" w:rsidP="00DD11D5">
      <w:pPr>
        <w:widowControl/>
        <w:shd w:val="clear" w:color="auto" w:fill="FFFFFF"/>
        <w:suppressAutoHyphens/>
        <w:rPr>
          <w:sz w:val="18"/>
        </w:rPr>
      </w:pPr>
      <w:r w:rsidRPr="00C26E2D">
        <w:rPr>
          <w:sz w:val="18"/>
        </w:rPr>
        <w:tab/>
        <w:t>(1)  A local registrar shall take appropriate action to ensure that any death occurring in the registrar's registration area is registered.</w:t>
      </w:r>
    </w:p>
    <w:p w14:paraId="15F5DA10" w14:textId="77777777" w:rsidR="00DD11D5" w:rsidRPr="00C26E2D" w:rsidRDefault="00DD11D5" w:rsidP="00DD11D5">
      <w:pPr>
        <w:widowControl/>
        <w:shd w:val="clear" w:color="auto" w:fill="FFFFFF"/>
        <w:suppressAutoHyphens/>
        <w:rPr>
          <w:sz w:val="18"/>
        </w:rPr>
      </w:pPr>
      <w:r w:rsidRPr="00C26E2D">
        <w:rPr>
          <w:sz w:val="18"/>
        </w:rPr>
        <w:tab/>
        <w:t>(2)(a)  The local registrar or designee shall check the accuracy of data entered into the Vital Records death registration system in accordance with the written instructions issued by the state registrar.</w:t>
      </w:r>
    </w:p>
    <w:p w14:paraId="13BB51BC" w14:textId="77777777" w:rsidR="00DD11D5" w:rsidRPr="00C26E2D" w:rsidRDefault="00DD11D5" w:rsidP="00DD11D5">
      <w:pPr>
        <w:widowControl/>
        <w:shd w:val="clear" w:color="auto" w:fill="FFFFFF"/>
        <w:suppressAutoHyphens/>
        <w:rPr>
          <w:sz w:val="18"/>
        </w:rPr>
      </w:pPr>
      <w:r w:rsidRPr="00C26E2D">
        <w:rPr>
          <w:sz w:val="18"/>
        </w:rPr>
        <w:tab/>
        <w:t>(b)  To ensure accuracy, the local registrar or designee shall cross-check among items.</w:t>
      </w:r>
    </w:p>
    <w:p w14:paraId="143B5C70" w14:textId="77777777" w:rsidR="00DD11D5" w:rsidRPr="00C26E2D" w:rsidRDefault="00DD11D5" w:rsidP="00DD11D5">
      <w:pPr>
        <w:widowControl/>
        <w:shd w:val="clear" w:color="auto" w:fill="FFFFFF"/>
        <w:suppressAutoHyphens/>
        <w:rPr>
          <w:sz w:val="18"/>
        </w:rPr>
      </w:pPr>
      <w:r w:rsidRPr="00C26E2D">
        <w:rPr>
          <w:sz w:val="18"/>
        </w:rPr>
        <w:tab/>
        <w:t>(3)  The originators of any incomplete or inaccurate information in the death registration shall be contacted and asked for information to complete the registration.</w:t>
      </w:r>
    </w:p>
    <w:p w14:paraId="4455DE93" w14:textId="77777777" w:rsidR="00DD11D5" w:rsidRPr="00C26E2D" w:rsidRDefault="00DD11D5" w:rsidP="00DD11D5">
      <w:pPr>
        <w:widowControl/>
        <w:shd w:val="clear" w:color="auto" w:fill="FFFFFF"/>
        <w:suppressAutoHyphens/>
        <w:rPr>
          <w:sz w:val="18"/>
        </w:rPr>
      </w:pPr>
      <w:r w:rsidRPr="00C26E2D">
        <w:rPr>
          <w:sz w:val="18"/>
        </w:rPr>
        <w:tab/>
        <w:t>(4)  Once reviewed, the local registrar or designee shall register the death in the Vital Records death registration system.</w:t>
      </w:r>
    </w:p>
    <w:p w14:paraId="2D48757C" w14:textId="77777777" w:rsidR="00DD11D5" w:rsidRPr="00C26E2D" w:rsidRDefault="00DD11D5" w:rsidP="00DD11D5">
      <w:pPr>
        <w:widowControl/>
        <w:shd w:val="clear" w:color="auto" w:fill="FFFFFF"/>
        <w:suppressAutoHyphens/>
        <w:rPr>
          <w:bCs/>
          <w:sz w:val="18"/>
        </w:rPr>
      </w:pPr>
    </w:p>
    <w:p w14:paraId="4FCFE5D8" w14:textId="31740075" w:rsidR="00DD11D5" w:rsidRPr="00C26E2D" w:rsidRDefault="00DD11D5" w:rsidP="00DD11D5">
      <w:pPr>
        <w:widowControl/>
        <w:shd w:val="clear" w:color="auto" w:fill="FFFFFF"/>
        <w:suppressAutoHyphens/>
        <w:rPr>
          <w:bCs/>
          <w:sz w:val="18"/>
        </w:rPr>
      </w:pPr>
      <w:r w:rsidRPr="00C26E2D">
        <w:rPr>
          <w:b/>
          <w:bCs/>
          <w:sz w:val="18"/>
        </w:rPr>
        <w:t>R436-7-4.  Penalties.</w:t>
      </w:r>
    </w:p>
    <w:p w14:paraId="75B17A77" w14:textId="77777777" w:rsidR="00DD11D5" w:rsidRPr="00C26E2D" w:rsidRDefault="00DD11D5" w:rsidP="00DD11D5">
      <w:pPr>
        <w:widowControl/>
        <w:shd w:val="clear" w:color="auto" w:fill="FFFFFF"/>
        <w:suppressAutoHyphens/>
        <w:rPr>
          <w:sz w:val="18"/>
        </w:rPr>
      </w:pPr>
      <w:r w:rsidRPr="00C26E2D">
        <w:rPr>
          <w:sz w:val="18"/>
        </w:rPr>
        <w:tab/>
        <w:t>(1)  A funeral director violates this rule and is subject to the penalties provided in Section 26B-1-224, including both administrative and civil penalties, if the funeral director:</w:t>
      </w:r>
    </w:p>
    <w:p w14:paraId="34B40FC2" w14:textId="6C4883BB" w:rsidR="00DD11D5" w:rsidRPr="00C26E2D" w:rsidRDefault="00DD11D5" w:rsidP="00DD11D5">
      <w:pPr>
        <w:widowControl/>
        <w:shd w:val="clear" w:color="auto" w:fill="FFFFFF"/>
        <w:suppressAutoHyphens/>
        <w:rPr>
          <w:sz w:val="18"/>
        </w:rPr>
      </w:pPr>
      <w:r w:rsidRPr="00C26E2D">
        <w:rPr>
          <w:sz w:val="18"/>
        </w:rPr>
        <w:tab/>
        <w:t>(a)  dispositions the deceased before the death registration; or</w:t>
      </w:r>
    </w:p>
    <w:p w14:paraId="7ACD47EF" w14:textId="34F281DD" w:rsidR="00DD11D5" w:rsidRPr="00C26E2D" w:rsidRDefault="00DD11D5" w:rsidP="00DD11D5">
      <w:pPr>
        <w:widowControl/>
        <w:shd w:val="clear" w:color="auto" w:fill="FFFFFF"/>
        <w:suppressAutoHyphens/>
        <w:rPr>
          <w:sz w:val="18"/>
        </w:rPr>
      </w:pPr>
      <w:r w:rsidRPr="00C26E2D">
        <w:rPr>
          <w:sz w:val="18"/>
        </w:rPr>
        <w:tab/>
        <w:t>(b)  fails to register the death within 120 hours of the death without good cause.</w:t>
      </w:r>
    </w:p>
    <w:p w14:paraId="304DA073" w14:textId="77777777" w:rsidR="00DD11D5" w:rsidRPr="00C26E2D" w:rsidRDefault="00DD11D5" w:rsidP="00DD11D5">
      <w:pPr>
        <w:widowControl/>
        <w:shd w:val="clear" w:color="auto" w:fill="FFFFFF"/>
        <w:suppressAutoHyphens/>
        <w:rPr>
          <w:sz w:val="18"/>
        </w:rPr>
      </w:pPr>
      <w:r w:rsidRPr="00C26E2D">
        <w:rPr>
          <w:sz w:val="18"/>
        </w:rPr>
        <w:tab/>
        <w:t>(2)  A medical certifier violates this rule and is subject to the penalties provided in Section 26B-1-224, including both administrative and civil penalties, if the medical certifier fails to certify the death within 120 hours of the death without good cause.</w:t>
      </w:r>
    </w:p>
    <w:p w14:paraId="2D1122BC" w14:textId="26561407" w:rsidR="00DD11D5" w:rsidRPr="00C26E2D" w:rsidRDefault="00DD11D5" w:rsidP="00DD11D5">
      <w:pPr>
        <w:widowControl/>
        <w:shd w:val="clear" w:color="auto" w:fill="FFFFFF"/>
        <w:suppressAutoHyphens/>
        <w:rPr>
          <w:sz w:val="18"/>
        </w:rPr>
      </w:pPr>
      <w:r w:rsidRPr="00C26E2D">
        <w:rPr>
          <w:sz w:val="18"/>
        </w:rPr>
        <w:tab/>
        <w:t>(3)  Good cause includes receiving the assignment close to or after the 120-hour timeframe.</w:t>
      </w:r>
    </w:p>
    <w:p w14:paraId="056E60AA" w14:textId="77777777" w:rsidR="00DD11D5" w:rsidRPr="00C26E2D" w:rsidRDefault="00DD11D5" w:rsidP="00DD11D5">
      <w:pPr>
        <w:widowControl/>
        <w:shd w:val="clear" w:color="auto" w:fill="FFFFFF"/>
        <w:suppressAutoHyphens/>
        <w:rPr>
          <w:sz w:val="18"/>
          <w:szCs w:val="22"/>
        </w:rPr>
      </w:pPr>
    </w:p>
    <w:p w14:paraId="767F0F7A" w14:textId="77777777" w:rsidR="00DD11D5" w:rsidRPr="00C26E2D" w:rsidRDefault="00DD11D5" w:rsidP="00DD11D5">
      <w:pPr>
        <w:widowControl/>
        <w:shd w:val="clear" w:color="auto" w:fill="FFFFFF"/>
        <w:suppressAutoHyphens/>
        <w:rPr>
          <w:sz w:val="18"/>
          <w:szCs w:val="22"/>
        </w:rPr>
      </w:pPr>
      <w:r w:rsidRPr="00C26E2D">
        <w:rPr>
          <w:b/>
          <w:sz w:val="18"/>
        </w:rPr>
        <w:t>KEY:  vital statistics, death, funeral industries</w:t>
      </w:r>
    </w:p>
    <w:p w14:paraId="0381C498" w14:textId="4F4B055E" w:rsidR="00DD11D5" w:rsidRPr="00C26E2D" w:rsidRDefault="00DD11D5" w:rsidP="00DD11D5">
      <w:pPr>
        <w:widowControl/>
        <w:shd w:val="clear" w:color="auto" w:fill="FFFFFF"/>
        <w:suppressAutoHyphens/>
        <w:rPr>
          <w:sz w:val="18"/>
          <w:szCs w:val="22"/>
        </w:rPr>
      </w:pPr>
      <w:r w:rsidRPr="00C26E2D">
        <w:rPr>
          <w:b/>
          <w:sz w:val="18"/>
        </w:rPr>
        <w:t xml:space="preserve">Date of Last Change:  </w:t>
      </w:r>
      <w:r w:rsidR="00323FCA" w:rsidRPr="00C26E2D">
        <w:rPr>
          <w:b/>
          <w:sz w:val="18"/>
        </w:rPr>
        <w:t xml:space="preserve">February 18, </w:t>
      </w:r>
      <w:r w:rsidRPr="00C26E2D">
        <w:rPr>
          <w:b/>
          <w:sz w:val="18"/>
        </w:rPr>
        <w:t>2025</w:t>
      </w:r>
    </w:p>
    <w:p w14:paraId="245FA5B5" w14:textId="77777777" w:rsidR="00DD11D5" w:rsidRPr="00C26E2D" w:rsidRDefault="00DD11D5" w:rsidP="00DD11D5">
      <w:pPr>
        <w:widowControl/>
        <w:shd w:val="clear" w:color="auto" w:fill="FFFFFF"/>
        <w:suppressAutoHyphens/>
        <w:rPr>
          <w:sz w:val="18"/>
          <w:szCs w:val="22"/>
        </w:rPr>
      </w:pPr>
      <w:r w:rsidRPr="00C26E2D">
        <w:rPr>
          <w:b/>
          <w:sz w:val="18"/>
        </w:rPr>
        <w:t>Notice of Continuation:  March 21, 2023</w:t>
      </w:r>
    </w:p>
    <w:p w14:paraId="0464C3DC" w14:textId="77777777" w:rsidR="00DD11D5" w:rsidRPr="00C26E2D" w:rsidRDefault="00DD11D5" w:rsidP="00DD11D5">
      <w:pPr>
        <w:widowControl/>
        <w:shd w:val="clear" w:color="auto" w:fill="FFFFFF"/>
        <w:suppressAutoHyphens/>
        <w:rPr>
          <w:sz w:val="18"/>
          <w:szCs w:val="22"/>
        </w:rPr>
      </w:pPr>
      <w:r w:rsidRPr="00C26E2D">
        <w:rPr>
          <w:b/>
          <w:sz w:val="18"/>
        </w:rPr>
        <w:t>Authorizing, and Implemented or Interpreted Law:  26B-8-114; 26B-8-123; 26B-1-224</w:t>
      </w:r>
    </w:p>
    <w:p w14:paraId="28BA7DC1" w14:textId="77777777" w:rsidR="00DD11D5" w:rsidRPr="00C26E2D" w:rsidRDefault="00DD11D5" w:rsidP="00DD11D5">
      <w:pPr>
        <w:widowControl/>
        <w:suppressAutoHyphens/>
        <w:rPr>
          <w:sz w:val="18"/>
        </w:rPr>
      </w:pPr>
    </w:p>
    <w:p w14:paraId="1831FF26" w14:textId="6EA80499" w:rsidR="00BC1807" w:rsidRPr="00C26E2D" w:rsidRDefault="00BC1807" w:rsidP="00DD11D5">
      <w:pPr>
        <w:widowControl/>
        <w:suppressAutoHyphens/>
        <w:rPr>
          <w:sz w:val="18"/>
        </w:rPr>
      </w:pPr>
    </w:p>
    <w:sectPr w:rsidR="00BC1807" w:rsidRPr="00C26E2D" w:rsidSect="00C26E2D">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B04600" w14:textId="77777777" w:rsidR="000D57DF" w:rsidRDefault="000D57DF" w:rsidP="00C17968">
      <w:r>
        <w:separator/>
      </w:r>
    </w:p>
  </w:endnote>
  <w:endnote w:type="continuationSeparator" w:id="0">
    <w:p w14:paraId="5C12C61F" w14:textId="77777777" w:rsidR="000D57DF" w:rsidRDefault="000D57DF"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3908F" w14:textId="77777777" w:rsidR="000D57DF" w:rsidRDefault="000D57DF" w:rsidP="00C17968">
      <w:r>
        <w:separator/>
      </w:r>
    </w:p>
  </w:footnote>
  <w:footnote w:type="continuationSeparator" w:id="0">
    <w:p w14:paraId="731C3155" w14:textId="77777777" w:rsidR="000D57DF" w:rsidRDefault="000D57DF"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86A4C"/>
    <w:rsid w:val="00092D64"/>
    <w:rsid w:val="000A63C1"/>
    <w:rsid w:val="000B0C8F"/>
    <w:rsid w:val="000C3C78"/>
    <w:rsid w:val="000D57DF"/>
    <w:rsid w:val="000E034A"/>
    <w:rsid w:val="000E7CDD"/>
    <w:rsid w:val="00101FCF"/>
    <w:rsid w:val="00102BB0"/>
    <w:rsid w:val="00106B59"/>
    <w:rsid w:val="00124472"/>
    <w:rsid w:val="00136C69"/>
    <w:rsid w:val="00136E6B"/>
    <w:rsid w:val="00140B4F"/>
    <w:rsid w:val="00151B36"/>
    <w:rsid w:val="00153C40"/>
    <w:rsid w:val="00162F56"/>
    <w:rsid w:val="001769DF"/>
    <w:rsid w:val="0018100B"/>
    <w:rsid w:val="001B1B40"/>
    <w:rsid w:val="001C3DAB"/>
    <w:rsid w:val="001D69E3"/>
    <w:rsid w:val="001D7B35"/>
    <w:rsid w:val="001F78BA"/>
    <w:rsid w:val="00210E2C"/>
    <w:rsid w:val="00214BA0"/>
    <w:rsid w:val="002507BB"/>
    <w:rsid w:val="00250B69"/>
    <w:rsid w:val="00253C3B"/>
    <w:rsid w:val="002548F1"/>
    <w:rsid w:val="00256032"/>
    <w:rsid w:val="002639EB"/>
    <w:rsid w:val="00266359"/>
    <w:rsid w:val="00272D20"/>
    <w:rsid w:val="00282298"/>
    <w:rsid w:val="00282CAA"/>
    <w:rsid w:val="002839B7"/>
    <w:rsid w:val="00291DCA"/>
    <w:rsid w:val="00296B2B"/>
    <w:rsid w:val="00297523"/>
    <w:rsid w:val="002A681B"/>
    <w:rsid w:val="002B5227"/>
    <w:rsid w:val="002B721A"/>
    <w:rsid w:val="002C31EE"/>
    <w:rsid w:val="002D4474"/>
    <w:rsid w:val="002E6F38"/>
    <w:rsid w:val="002F45BF"/>
    <w:rsid w:val="003121D3"/>
    <w:rsid w:val="00316A41"/>
    <w:rsid w:val="003216AA"/>
    <w:rsid w:val="003217E6"/>
    <w:rsid w:val="00323FCA"/>
    <w:rsid w:val="00335956"/>
    <w:rsid w:val="0033622C"/>
    <w:rsid w:val="00342459"/>
    <w:rsid w:val="00373FE5"/>
    <w:rsid w:val="00380D52"/>
    <w:rsid w:val="003A1463"/>
    <w:rsid w:val="003B6116"/>
    <w:rsid w:val="003D601B"/>
    <w:rsid w:val="003E3971"/>
    <w:rsid w:val="003E6785"/>
    <w:rsid w:val="003F64A7"/>
    <w:rsid w:val="003F6A4F"/>
    <w:rsid w:val="00402912"/>
    <w:rsid w:val="00403755"/>
    <w:rsid w:val="004145E6"/>
    <w:rsid w:val="00414E0D"/>
    <w:rsid w:val="00427309"/>
    <w:rsid w:val="00430473"/>
    <w:rsid w:val="004423A3"/>
    <w:rsid w:val="00444320"/>
    <w:rsid w:val="00457B35"/>
    <w:rsid w:val="00462360"/>
    <w:rsid w:val="00465A08"/>
    <w:rsid w:val="004803F6"/>
    <w:rsid w:val="00497DD5"/>
    <w:rsid w:val="004A031A"/>
    <w:rsid w:val="004B197C"/>
    <w:rsid w:val="004B7F3B"/>
    <w:rsid w:val="004C20EA"/>
    <w:rsid w:val="004C4015"/>
    <w:rsid w:val="004D328F"/>
    <w:rsid w:val="00516E14"/>
    <w:rsid w:val="0053056E"/>
    <w:rsid w:val="00550F3B"/>
    <w:rsid w:val="00551480"/>
    <w:rsid w:val="005556D4"/>
    <w:rsid w:val="00563DBC"/>
    <w:rsid w:val="0057263E"/>
    <w:rsid w:val="005732E8"/>
    <w:rsid w:val="00574132"/>
    <w:rsid w:val="00581778"/>
    <w:rsid w:val="00583378"/>
    <w:rsid w:val="0058745A"/>
    <w:rsid w:val="005879FB"/>
    <w:rsid w:val="00590D6C"/>
    <w:rsid w:val="00594E8B"/>
    <w:rsid w:val="005960C4"/>
    <w:rsid w:val="005A0E94"/>
    <w:rsid w:val="005A463F"/>
    <w:rsid w:val="005A6E0E"/>
    <w:rsid w:val="005A7398"/>
    <w:rsid w:val="005B4EE0"/>
    <w:rsid w:val="005C024A"/>
    <w:rsid w:val="005D674B"/>
    <w:rsid w:val="005D6A7E"/>
    <w:rsid w:val="005F7305"/>
    <w:rsid w:val="00617D1E"/>
    <w:rsid w:val="00631C68"/>
    <w:rsid w:val="00640323"/>
    <w:rsid w:val="00642464"/>
    <w:rsid w:val="006431BE"/>
    <w:rsid w:val="00646433"/>
    <w:rsid w:val="00646E1C"/>
    <w:rsid w:val="006604BD"/>
    <w:rsid w:val="006661C3"/>
    <w:rsid w:val="006667C3"/>
    <w:rsid w:val="006752AB"/>
    <w:rsid w:val="00682427"/>
    <w:rsid w:val="0069040D"/>
    <w:rsid w:val="006936DF"/>
    <w:rsid w:val="00696181"/>
    <w:rsid w:val="006A3F24"/>
    <w:rsid w:val="006A7D14"/>
    <w:rsid w:val="006B70AF"/>
    <w:rsid w:val="006D167F"/>
    <w:rsid w:val="007047A1"/>
    <w:rsid w:val="00713104"/>
    <w:rsid w:val="007137CC"/>
    <w:rsid w:val="00715301"/>
    <w:rsid w:val="007157BE"/>
    <w:rsid w:val="00716F7B"/>
    <w:rsid w:val="007231FC"/>
    <w:rsid w:val="00723BDF"/>
    <w:rsid w:val="00736DC2"/>
    <w:rsid w:val="00747DE5"/>
    <w:rsid w:val="00753C35"/>
    <w:rsid w:val="007613E9"/>
    <w:rsid w:val="00762BDA"/>
    <w:rsid w:val="00772653"/>
    <w:rsid w:val="00796BA5"/>
    <w:rsid w:val="007A1FEA"/>
    <w:rsid w:val="007B3E20"/>
    <w:rsid w:val="007B5D15"/>
    <w:rsid w:val="007B6C82"/>
    <w:rsid w:val="007D0B87"/>
    <w:rsid w:val="007D1F9D"/>
    <w:rsid w:val="008315F8"/>
    <w:rsid w:val="00835660"/>
    <w:rsid w:val="00840B24"/>
    <w:rsid w:val="00844B36"/>
    <w:rsid w:val="008637F2"/>
    <w:rsid w:val="008705CB"/>
    <w:rsid w:val="00881A12"/>
    <w:rsid w:val="008829AB"/>
    <w:rsid w:val="0088641B"/>
    <w:rsid w:val="00890A1F"/>
    <w:rsid w:val="00897022"/>
    <w:rsid w:val="008B0B8A"/>
    <w:rsid w:val="008D6C4B"/>
    <w:rsid w:val="008E7D9B"/>
    <w:rsid w:val="009174AF"/>
    <w:rsid w:val="009226D8"/>
    <w:rsid w:val="00922D61"/>
    <w:rsid w:val="00925521"/>
    <w:rsid w:val="009279FD"/>
    <w:rsid w:val="00930819"/>
    <w:rsid w:val="009510CD"/>
    <w:rsid w:val="00964E49"/>
    <w:rsid w:val="0099724C"/>
    <w:rsid w:val="009A2A78"/>
    <w:rsid w:val="009B3AD0"/>
    <w:rsid w:val="009B5790"/>
    <w:rsid w:val="009C0017"/>
    <w:rsid w:val="009C1D9B"/>
    <w:rsid w:val="009C2A6A"/>
    <w:rsid w:val="009E5ABD"/>
    <w:rsid w:val="00A0145C"/>
    <w:rsid w:val="00A2194C"/>
    <w:rsid w:val="00A2684B"/>
    <w:rsid w:val="00A41D37"/>
    <w:rsid w:val="00A52209"/>
    <w:rsid w:val="00A6312E"/>
    <w:rsid w:val="00A93EFE"/>
    <w:rsid w:val="00AA649A"/>
    <w:rsid w:val="00AB0BE0"/>
    <w:rsid w:val="00AB5714"/>
    <w:rsid w:val="00AC2734"/>
    <w:rsid w:val="00AC60A3"/>
    <w:rsid w:val="00AD5BF8"/>
    <w:rsid w:val="00AF1519"/>
    <w:rsid w:val="00B0160D"/>
    <w:rsid w:val="00B05550"/>
    <w:rsid w:val="00B132A1"/>
    <w:rsid w:val="00B1423E"/>
    <w:rsid w:val="00B33858"/>
    <w:rsid w:val="00B41350"/>
    <w:rsid w:val="00B42174"/>
    <w:rsid w:val="00B42DFC"/>
    <w:rsid w:val="00B606F6"/>
    <w:rsid w:val="00B61024"/>
    <w:rsid w:val="00B62A8D"/>
    <w:rsid w:val="00B67C05"/>
    <w:rsid w:val="00B974B0"/>
    <w:rsid w:val="00BA3FB1"/>
    <w:rsid w:val="00BC1807"/>
    <w:rsid w:val="00BC5E52"/>
    <w:rsid w:val="00BD1592"/>
    <w:rsid w:val="00BD38D5"/>
    <w:rsid w:val="00BE6E0F"/>
    <w:rsid w:val="00C010A9"/>
    <w:rsid w:val="00C07C48"/>
    <w:rsid w:val="00C12F4E"/>
    <w:rsid w:val="00C16B84"/>
    <w:rsid w:val="00C17425"/>
    <w:rsid w:val="00C17968"/>
    <w:rsid w:val="00C17B64"/>
    <w:rsid w:val="00C2383B"/>
    <w:rsid w:val="00C24527"/>
    <w:rsid w:val="00C26E2D"/>
    <w:rsid w:val="00C339A4"/>
    <w:rsid w:val="00C4256B"/>
    <w:rsid w:val="00C42A03"/>
    <w:rsid w:val="00C46557"/>
    <w:rsid w:val="00C475B6"/>
    <w:rsid w:val="00C57466"/>
    <w:rsid w:val="00C67105"/>
    <w:rsid w:val="00C7075A"/>
    <w:rsid w:val="00C84D64"/>
    <w:rsid w:val="00C864C3"/>
    <w:rsid w:val="00C87D1B"/>
    <w:rsid w:val="00CA2A17"/>
    <w:rsid w:val="00CA4226"/>
    <w:rsid w:val="00CA4306"/>
    <w:rsid w:val="00CB214B"/>
    <w:rsid w:val="00CC15E6"/>
    <w:rsid w:val="00CC1DE2"/>
    <w:rsid w:val="00CC2F8D"/>
    <w:rsid w:val="00CD6B93"/>
    <w:rsid w:val="00CE4429"/>
    <w:rsid w:val="00CE4EB2"/>
    <w:rsid w:val="00CF0A75"/>
    <w:rsid w:val="00CF36B3"/>
    <w:rsid w:val="00D01884"/>
    <w:rsid w:val="00D06A99"/>
    <w:rsid w:val="00D222F2"/>
    <w:rsid w:val="00D22416"/>
    <w:rsid w:val="00D2400F"/>
    <w:rsid w:val="00D26D4A"/>
    <w:rsid w:val="00D31690"/>
    <w:rsid w:val="00D330D2"/>
    <w:rsid w:val="00D41554"/>
    <w:rsid w:val="00D41ABA"/>
    <w:rsid w:val="00D616C6"/>
    <w:rsid w:val="00D66564"/>
    <w:rsid w:val="00D757D0"/>
    <w:rsid w:val="00D76607"/>
    <w:rsid w:val="00D7747A"/>
    <w:rsid w:val="00D87508"/>
    <w:rsid w:val="00D97919"/>
    <w:rsid w:val="00DA783E"/>
    <w:rsid w:val="00DC0B97"/>
    <w:rsid w:val="00DC51B5"/>
    <w:rsid w:val="00DC5212"/>
    <w:rsid w:val="00DD11D5"/>
    <w:rsid w:val="00DE4AAB"/>
    <w:rsid w:val="00E06657"/>
    <w:rsid w:val="00E3288D"/>
    <w:rsid w:val="00E33057"/>
    <w:rsid w:val="00E33275"/>
    <w:rsid w:val="00E5198C"/>
    <w:rsid w:val="00E52C8D"/>
    <w:rsid w:val="00E536BE"/>
    <w:rsid w:val="00E62DBC"/>
    <w:rsid w:val="00E71631"/>
    <w:rsid w:val="00E71E51"/>
    <w:rsid w:val="00E87A73"/>
    <w:rsid w:val="00E91C27"/>
    <w:rsid w:val="00E92B06"/>
    <w:rsid w:val="00E945AC"/>
    <w:rsid w:val="00EB0212"/>
    <w:rsid w:val="00EB3D35"/>
    <w:rsid w:val="00EC01D2"/>
    <w:rsid w:val="00EC7C9D"/>
    <w:rsid w:val="00EE6D3C"/>
    <w:rsid w:val="00F1268F"/>
    <w:rsid w:val="00F136AB"/>
    <w:rsid w:val="00F278A7"/>
    <w:rsid w:val="00F31687"/>
    <w:rsid w:val="00F35997"/>
    <w:rsid w:val="00F40EA6"/>
    <w:rsid w:val="00F426A3"/>
    <w:rsid w:val="00F42C14"/>
    <w:rsid w:val="00F700BD"/>
    <w:rsid w:val="00F72AC8"/>
    <w:rsid w:val="00F87DE9"/>
    <w:rsid w:val="00F91CB5"/>
    <w:rsid w:val="00F95ADD"/>
    <w:rsid w:val="00F96E65"/>
    <w:rsid w:val="00FA17EE"/>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544</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2025-02-21T20:08:00Z</dcterms:created>
  <dcterms:modified xsi:type="dcterms:W3CDTF">2025-02-21T20:08:00Z</dcterms:modified>
</cp:coreProperties>
</file>