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46DAF" w14:textId="7777777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b/>
          <w:sz w:val="18"/>
          <w:szCs w:val="18"/>
        </w:rPr>
        <w:t>R940.  Transportation Commission, Administration.</w:t>
      </w:r>
    </w:p>
    <w:p w14:paraId="7920CDAE" w14:textId="7777777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b/>
          <w:sz w:val="18"/>
          <w:szCs w:val="18"/>
        </w:rPr>
        <w:t>R940-1.  Establishment of Toll Rates.</w:t>
      </w:r>
    </w:p>
    <w:p w14:paraId="7A7F76C1" w14:textId="7777777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b/>
          <w:sz w:val="18"/>
          <w:szCs w:val="18"/>
        </w:rPr>
        <w:t>R940-1-1.  Purpose and Authority.</w:t>
      </w:r>
    </w:p>
    <w:p w14:paraId="06FBD5B5" w14:textId="7777777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(1)  The purpose of this rule is to establish procedures for the setting of toll rates.</w:t>
      </w:r>
    </w:p>
    <w:p w14:paraId="06424385" w14:textId="3554B582"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(2)  This rule is authorized by Section 72-6-118.</w:t>
      </w:r>
    </w:p>
    <w:p w14:paraId="3724F2B9" w14:textId="7777777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p>
    <w:p w14:paraId="1F807FE5" w14:textId="7777777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b/>
          <w:sz w:val="18"/>
          <w:szCs w:val="18"/>
        </w:rPr>
        <w:t>R940-1-2.  Definitions.</w:t>
      </w:r>
    </w:p>
    <w:p w14:paraId="1FB7421E" w14:textId="7777777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As used in this rule:</w:t>
      </w:r>
    </w:p>
    <w:p w14:paraId="54704F24" w14:textId="33FFF956"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(1)  "Commission" means the Transportation Commission, which is created in Section 72-1-301.</w:t>
      </w:r>
    </w:p>
    <w:p w14:paraId="7398F489" w14:textId="7E0D1E26"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(2)  "Department" means the Utah Department of Transportation, which is created in Section 72-1-101.</w:t>
      </w:r>
    </w:p>
    <w:p w14:paraId="4DEA3184" w14:textId="584A83B3"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(3)  "Toll" means the toll or user fees that the operator of a motor vehicle must pay for the privilege of driving on a tollway, including the toll or user fees that the operator of a single-occupant motor vehicle must pay for the privilege of driving on a high-occupancy toll lane.</w:t>
      </w:r>
    </w:p>
    <w:p w14:paraId="2C7A77A3" w14:textId="7777777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(4)  "Tollway" has the meaning described in Section 72-6-118.</w:t>
      </w:r>
    </w:p>
    <w:p w14:paraId="714C6428" w14:textId="3DAB5972"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(5)  "Tollway development agreement" has the meaning described in Section 72-6-202.</w:t>
      </w:r>
    </w:p>
    <w:p w14:paraId="1AAB385D" w14:textId="7777777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p>
    <w:p w14:paraId="359DF591" w14:textId="7777777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b/>
          <w:sz w:val="18"/>
          <w:szCs w:val="18"/>
        </w:rPr>
        <w:t>R940-1-3.  Setting Toll Rates.</w:t>
      </w:r>
    </w:p>
    <w:p w14:paraId="07E294D8" w14:textId="71934812"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(1)  The commission shall be responsible for setting toll rates on state highways as specified in this rule.</w:t>
      </w:r>
    </w:p>
    <w:p w14:paraId="1A74DBCB" w14:textId="7777777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(2)(a)  Toll rates for facilities included in a tollway development agreement shall be set in accordance with the terms and conditions of the tollway development agreement.</w:t>
      </w:r>
    </w:p>
    <w:p w14:paraId="1020AC80" w14:textId="112A3316"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(b)  Terms and conditions relating to toll rates are required to be presented to the commission in connection with the award of the tollway development agreement, and any modifications to such terms and conditions will be considered a substantial modification or amendment requiring commission approval under of this rule.</w:t>
      </w:r>
    </w:p>
    <w:p w14:paraId="5086755A" w14:textId="7DAB859C"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(3)  The commission may increase the toll rates for a facility subject to a tollway development agreement above the amount allowed under the tollway development agreement.</w:t>
      </w:r>
    </w:p>
    <w:p w14:paraId="5150E924" w14:textId="7777777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p>
    <w:p w14:paraId="280CF60D" w14:textId="7777777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b/>
          <w:sz w:val="18"/>
          <w:szCs w:val="18"/>
        </w:rPr>
        <w:t>R940-1-4.  Toll Rates.</w:t>
      </w:r>
    </w:p>
    <w:p w14:paraId="144820C0" w14:textId="3831A1D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(1)(a)  The commission will set tolls at a rate designed to keep traffic freely flowing in each payment zone.</w:t>
      </w:r>
    </w:p>
    <w:p w14:paraId="2E1D18ED" w14:textId="631A8BCC"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(b)  The department will calculate the optimal toll rate for each payment zone and create a schedule of optimal toll rates.</w:t>
      </w:r>
    </w:p>
    <w:p w14:paraId="2D521843" w14:textId="29630AC6"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(2)(a)  The department will submit a methodology for determining the optimal toll rates to the commission for approval.</w:t>
      </w:r>
    </w:p>
    <w:p w14:paraId="417985DA" w14:textId="57A108F9"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(b)  The department will review the schedule of optimal toll rates as often as necessary to maintain the optimal traffic flow in each payment zone, but at least every 6 months.</w:t>
      </w:r>
    </w:p>
    <w:p w14:paraId="6E10C8EB" w14:textId="277B07D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(c)  The department will post the toll rates methodology on its website.</w:t>
      </w:r>
    </w:p>
    <w:p w14:paraId="14F8DF94" w14:textId="7777777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(d)  The toll rate in effect shall be posted on variable message signs at each payment zone.</w:t>
      </w:r>
    </w:p>
    <w:p w14:paraId="2AA5DC27" w14:textId="32C39C2C"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(3)  The maximum toll rate is $4 per payment zone.</w:t>
      </w:r>
    </w:p>
    <w:p w14:paraId="37FB7E2A" w14:textId="154B106A"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sz w:val="18"/>
          <w:szCs w:val="18"/>
        </w:rPr>
        <w:tab/>
        <w:t>(4)  Toll rates for roads that are subject to a tollway development agreement shall be set in the tollway development agreement.</w:t>
      </w:r>
    </w:p>
    <w:p w14:paraId="4623DB5D" w14:textId="7777777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p>
    <w:p w14:paraId="6D5E14CC" w14:textId="7BC17078"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b/>
          <w:sz w:val="18"/>
          <w:szCs w:val="18"/>
        </w:rPr>
        <w:t>KEY:  transportation, tolls, high-occupancy toll lanes, tollways</w:t>
      </w:r>
    </w:p>
    <w:p w14:paraId="4D50B8C1" w14:textId="4704B41D"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b/>
          <w:sz w:val="18"/>
          <w:szCs w:val="18"/>
        </w:rPr>
        <w:t xml:space="preserve">Date of Last Change:  </w:t>
      </w:r>
      <w:r w:rsidR="00093D57" w:rsidRPr="00547F47">
        <w:rPr>
          <w:b/>
          <w:sz w:val="18"/>
          <w:szCs w:val="18"/>
        </w:rPr>
        <w:t xml:space="preserve">March 16, </w:t>
      </w:r>
      <w:r w:rsidRPr="00547F47">
        <w:rPr>
          <w:b/>
          <w:sz w:val="18"/>
          <w:szCs w:val="18"/>
        </w:rPr>
        <w:t>2026</w:t>
      </w:r>
    </w:p>
    <w:p w14:paraId="2CCC8FDE" w14:textId="7777777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b/>
          <w:sz w:val="18"/>
          <w:szCs w:val="18"/>
        </w:rPr>
        <w:t>Notice of Continuation:  May 28, 2021</w:t>
      </w:r>
    </w:p>
    <w:p w14:paraId="3EB803A0" w14:textId="77777777" w:rsidR="00930D5E" w:rsidRPr="00547F47" w:rsidRDefault="00930D5E" w:rsidP="00930D5E">
      <w:pPr>
        <w:widowControl/>
        <w:pBdr>
          <w:top w:val="nil"/>
          <w:left w:val="nil"/>
          <w:bottom w:val="nil"/>
          <w:right w:val="nil"/>
          <w:between w:val="nil"/>
        </w:pBdr>
        <w:suppressAutoHyphens/>
        <w:autoSpaceDE/>
        <w:autoSpaceDN/>
        <w:adjustRightInd/>
        <w:rPr>
          <w:sz w:val="18"/>
          <w:szCs w:val="18"/>
        </w:rPr>
      </w:pPr>
      <w:r w:rsidRPr="00547F47">
        <w:rPr>
          <w:b/>
          <w:sz w:val="18"/>
          <w:szCs w:val="18"/>
        </w:rPr>
        <w:t>Authorizing, and Implemented or Interpreted Law:  72-2-120; 72-6-118</w:t>
      </w:r>
    </w:p>
    <w:p w14:paraId="346FF202" w14:textId="77777777" w:rsidR="00930D5E" w:rsidRPr="00547F47" w:rsidRDefault="00930D5E" w:rsidP="00930D5E">
      <w:pPr>
        <w:widowControl/>
        <w:suppressAutoHyphens/>
        <w:autoSpaceDE/>
        <w:autoSpaceDN/>
        <w:adjustRightInd/>
        <w:rPr>
          <w:rFonts w:eastAsia="Arial"/>
          <w:sz w:val="18"/>
          <w:szCs w:val="22"/>
        </w:rPr>
      </w:pPr>
    </w:p>
    <w:p w14:paraId="5A76FABA" w14:textId="11F76256" w:rsidR="00682427" w:rsidRPr="00547F47" w:rsidRDefault="00682427" w:rsidP="00930D5E">
      <w:pPr>
        <w:widowControl/>
        <w:suppressAutoHyphens/>
        <w:autoSpaceDE/>
        <w:autoSpaceDN/>
        <w:adjustRightInd/>
        <w:rPr>
          <w:rFonts w:eastAsia="Aptos"/>
          <w:sz w:val="18"/>
        </w:rPr>
      </w:pPr>
    </w:p>
    <w:sectPr w:rsidR="00682427" w:rsidRPr="00547F47" w:rsidSect="00547F47">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EAF60" w14:textId="77777777" w:rsidR="0013271D" w:rsidRDefault="0013271D" w:rsidP="00C17968">
      <w:r>
        <w:separator/>
      </w:r>
    </w:p>
  </w:endnote>
  <w:endnote w:type="continuationSeparator" w:id="0">
    <w:p w14:paraId="65FA1D4F" w14:textId="77777777" w:rsidR="0013271D" w:rsidRDefault="0013271D"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5F05F" w14:textId="77777777" w:rsidR="0013271D" w:rsidRDefault="0013271D" w:rsidP="00C17968">
      <w:r>
        <w:separator/>
      </w:r>
    </w:p>
  </w:footnote>
  <w:footnote w:type="continuationSeparator" w:id="0">
    <w:p w14:paraId="4B020E37" w14:textId="77777777" w:rsidR="0013271D" w:rsidRDefault="0013271D"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42400"/>
    <w:rsid w:val="00045F73"/>
    <w:rsid w:val="00050AB6"/>
    <w:rsid w:val="00051473"/>
    <w:rsid w:val="0005628D"/>
    <w:rsid w:val="00060995"/>
    <w:rsid w:val="00074F99"/>
    <w:rsid w:val="00083289"/>
    <w:rsid w:val="00083BAD"/>
    <w:rsid w:val="00086A4C"/>
    <w:rsid w:val="00092D64"/>
    <w:rsid w:val="00093D57"/>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271D"/>
    <w:rsid w:val="00133F0A"/>
    <w:rsid w:val="00135EC6"/>
    <w:rsid w:val="00136C69"/>
    <w:rsid w:val="00136E6B"/>
    <w:rsid w:val="00140B4F"/>
    <w:rsid w:val="00140F86"/>
    <w:rsid w:val="001447C5"/>
    <w:rsid w:val="00151B36"/>
    <w:rsid w:val="001659D6"/>
    <w:rsid w:val="001769DF"/>
    <w:rsid w:val="0018100B"/>
    <w:rsid w:val="00197144"/>
    <w:rsid w:val="00197329"/>
    <w:rsid w:val="001B1B40"/>
    <w:rsid w:val="001C3DAB"/>
    <w:rsid w:val="001C4CEB"/>
    <w:rsid w:val="001D1A8C"/>
    <w:rsid w:val="001D45E8"/>
    <w:rsid w:val="001F78BA"/>
    <w:rsid w:val="00210E2C"/>
    <w:rsid w:val="00214BA0"/>
    <w:rsid w:val="00223AFA"/>
    <w:rsid w:val="00250B69"/>
    <w:rsid w:val="00252163"/>
    <w:rsid w:val="00253C3B"/>
    <w:rsid w:val="00256032"/>
    <w:rsid w:val="0025687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73FE5"/>
    <w:rsid w:val="00380D52"/>
    <w:rsid w:val="003811E6"/>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423A3"/>
    <w:rsid w:val="0045285A"/>
    <w:rsid w:val="00452B2A"/>
    <w:rsid w:val="00457B35"/>
    <w:rsid w:val="00462360"/>
    <w:rsid w:val="00465A08"/>
    <w:rsid w:val="004803F6"/>
    <w:rsid w:val="004A031A"/>
    <w:rsid w:val="004B7F3B"/>
    <w:rsid w:val="004C20EA"/>
    <w:rsid w:val="004C4015"/>
    <w:rsid w:val="004C74B6"/>
    <w:rsid w:val="004D328F"/>
    <w:rsid w:val="004D6568"/>
    <w:rsid w:val="00503322"/>
    <w:rsid w:val="00516E14"/>
    <w:rsid w:val="00523940"/>
    <w:rsid w:val="005429B8"/>
    <w:rsid w:val="00547F47"/>
    <w:rsid w:val="00550F3B"/>
    <w:rsid w:val="00551480"/>
    <w:rsid w:val="005556D4"/>
    <w:rsid w:val="00562B4A"/>
    <w:rsid w:val="00563DBC"/>
    <w:rsid w:val="005704DC"/>
    <w:rsid w:val="0057263E"/>
    <w:rsid w:val="005732E8"/>
    <w:rsid w:val="00574132"/>
    <w:rsid w:val="00580659"/>
    <w:rsid w:val="00583378"/>
    <w:rsid w:val="005844A7"/>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7D14"/>
    <w:rsid w:val="006B70AF"/>
    <w:rsid w:val="006C202D"/>
    <w:rsid w:val="006C4CEF"/>
    <w:rsid w:val="006D167F"/>
    <w:rsid w:val="006D1FD5"/>
    <w:rsid w:val="006E1B83"/>
    <w:rsid w:val="006F7E37"/>
    <w:rsid w:val="007047A1"/>
    <w:rsid w:val="00713104"/>
    <w:rsid w:val="00715301"/>
    <w:rsid w:val="00715801"/>
    <w:rsid w:val="00716F7B"/>
    <w:rsid w:val="007231FC"/>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D6B"/>
    <w:rsid w:val="007A6137"/>
    <w:rsid w:val="007B6C82"/>
    <w:rsid w:val="007C66C3"/>
    <w:rsid w:val="007D0B87"/>
    <w:rsid w:val="007D1F9D"/>
    <w:rsid w:val="007D47E7"/>
    <w:rsid w:val="008052C4"/>
    <w:rsid w:val="008077EE"/>
    <w:rsid w:val="00807BB1"/>
    <w:rsid w:val="008315F8"/>
    <w:rsid w:val="00835660"/>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D6C4B"/>
    <w:rsid w:val="008E7D98"/>
    <w:rsid w:val="008E7D9B"/>
    <w:rsid w:val="008F5560"/>
    <w:rsid w:val="009174AF"/>
    <w:rsid w:val="00921FDE"/>
    <w:rsid w:val="009226D8"/>
    <w:rsid w:val="00922D61"/>
    <w:rsid w:val="009279FD"/>
    <w:rsid w:val="00930D5E"/>
    <w:rsid w:val="009510CD"/>
    <w:rsid w:val="00964E49"/>
    <w:rsid w:val="00964F8C"/>
    <w:rsid w:val="00986B62"/>
    <w:rsid w:val="0099724C"/>
    <w:rsid w:val="009A2A78"/>
    <w:rsid w:val="009A4D73"/>
    <w:rsid w:val="009B20A7"/>
    <w:rsid w:val="009B5790"/>
    <w:rsid w:val="009C0017"/>
    <w:rsid w:val="009C2A6A"/>
    <w:rsid w:val="009D34B6"/>
    <w:rsid w:val="009E5ABD"/>
    <w:rsid w:val="009E75B1"/>
    <w:rsid w:val="009F0DEE"/>
    <w:rsid w:val="00A0145C"/>
    <w:rsid w:val="00A2194C"/>
    <w:rsid w:val="00A2684B"/>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5BF8"/>
    <w:rsid w:val="00AF1519"/>
    <w:rsid w:val="00B0160D"/>
    <w:rsid w:val="00B02C04"/>
    <w:rsid w:val="00B05550"/>
    <w:rsid w:val="00B132A1"/>
    <w:rsid w:val="00B1423E"/>
    <w:rsid w:val="00B17C18"/>
    <w:rsid w:val="00B33858"/>
    <w:rsid w:val="00B41350"/>
    <w:rsid w:val="00B41A6C"/>
    <w:rsid w:val="00B535B4"/>
    <w:rsid w:val="00B606F6"/>
    <w:rsid w:val="00B61024"/>
    <w:rsid w:val="00B62A8D"/>
    <w:rsid w:val="00B67C05"/>
    <w:rsid w:val="00B90B4E"/>
    <w:rsid w:val="00B974B0"/>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68D5"/>
    <w:rsid w:val="00C475B6"/>
    <w:rsid w:val="00C7075A"/>
    <w:rsid w:val="00C71AAC"/>
    <w:rsid w:val="00C864C3"/>
    <w:rsid w:val="00CA2A17"/>
    <w:rsid w:val="00CA4226"/>
    <w:rsid w:val="00CA4306"/>
    <w:rsid w:val="00CA642C"/>
    <w:rsid w:val="00CB214B"/>
    <w:rsid w:val="00CC0414"/>
    <w:rsid w:val="00CC1DE2"/>
    <w:rsid w:val="00CC2F8D"/>
    <w:rsid w:val="00CD6E5E"/>
    <w:rsid w:val="00CD7FD5"/>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96075"/>
    <w:rsid w:val="00D97919"/>
    <w:rsid w:val="00DA6D1D"/>
    <w:rsid w:val="00DA783E"/>
    <w:rsid w:val="00DB3AE0"/>
    <w:rsid w:val="00DC0B97"/>
    <w:rsid w:val="00DC1529"/>
    <w:rsid w:val="00DC51B5"/>
    <w:rsid w:val="00DE4AAB"/>
    <w:rsid w:val="00E06657"/>
    <w:rsid w:val="00E12901"/>
    <w:rsid w:val="00E2296E"/>
    <w:rsid w:val="00E23A0A"/>
    <w:rsid w:val="00E33057"/>
    <w:rsid w:val="00E33275"/>
    <w:rsid w:val="00E373E2"/>
    <w:rsid w:val="00E52C8D"/>
    <w:rsid w:val="00E536BE"/>
    <w:rsid w:val="00E557EC"/>
    <w:rsid w:val="00E62DBC"/>
    <w:rsid w:val="00E71631"/>
    <w:rsid w:val="00E71E51"/>
    <w:rsid w:val="00E83AE6"/>
    <w:rsid w:val="00E91C27"/>
    <w:rsid w:val="00E945AC"/>
    <w:rsid w:val="00EB0212"/>
    <w:rsid w:val="00EB3D35"/>
    <w:rsid w:val="00EC01D2"/>
    <w:rsid w:val="00EC028B"/>
    <w:rsid w:val="00EC6C8D"/>
    <w:rsid w:val="00EC7C9D"/>
    <w:rsid w:val="00ED6764"/>
    <w:rsid w:val="00EE2657"/>
    <w:rsid w:val="00EE6D3C"/>
    <w:rsid w:val="00EF40BC"/>
    <w:rsid w:val="00F04D62"/>
    <w:rsid w:val="00F05966"/>
    <w:rsid w:val="00F0658D"/>
    <w:rsid w:val="00F1268F"/>
    <w:rsid w:val="00F136AB"/>
    <w:rsid w:val="00F278A7"/>
    <w:rsid w:val="00F31687"/>
    <w:rsid w:val="00F35997"/>
    <w:rsid w:val="00F40EA6"/>
    <w:rsid w:val="00F41794"/>
    <w:rsid w:val="00F42C14"/>
    <w:rsid w:val="00F700BD"/>
    <w:rsid w:val="00F72AC8"/>
    <w:rsid w:val="00F86B4A"/>
    <w:rsid w:val="00F87DE9"/>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2026-03-19T20:05:00Z</dcterms:created>
  <dcterms:modified xsi:type="dcterms:W3CDTF">2026-03-19T20:05:00Z</dcterms:modified>
</cp:coreProperties>
</file>