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AF6C74" w14:textId="77777777" w:rsidR="00D36354" w:rsidRPr="00EF5F1A" w:rsidRDefault="00D36354" w:rsidP="00D36354">
      <w:pPr>
        <w:widowControl/>
        <w:suppressAutoHyphens/>
        <w:rPr>
          <w:rFonts w:eastAsia="Calibri"/>
          <w:bCs/>
          <w:sz w:val="18"/>
        </w:rPr>
      </w:pPr>
      <w:r w:rsidRPr="00EF5F1A">
        <w:rPr>
          <w:rFonts w:eastAsia="Calibri"/>
          <w:b/>
          <w:bCs/>
          <w:sz w:val="18"/>
        </w:rPr>
        <w:t>R277.  Education, Administration.</w:t>
      </w:r>
    </w:p>
    <w:p w14:paraId="5AE0804C" w14:textId="77777777" w:rsidR="00D36354" w:rsidRPr="00EF5F1A" w:rsidRDefault="00D36354" w:rsidP="00D36354">
      <w:pPr>
        <w:widowControl/>
        <w:suppressAutoHyphens/>
        <w:rPr>
          <w:rFonts w:eastAsia="Calibri"/>
          <w:bCs/>
          <w:sz w:val="18"/>
        </w:rPr>
      </w:pPr>
      <w:r w:rsidRPr="00EF5F1A">
        <w:rPr>
          <w:rFonts w:eastAsia="Calibri"/>
          <w:b/>
          <w:bCs/>
          <w:sz w:val="18"/>
        </w:rPr>
        <w:t>R277-497.  School Accountability System.</w:t>
      </w:r>
    </w:p>
    <w:p w14:paraId="71A6BBA6" w14:textId="413C3889" w:rsidR="00D36354" w:rsidRPr="00EF5F1A" w:rsidRDefault="00D36354" w:rsidP="00D36354">
      <w:pPr>
        <w:widowControl/>
        <w:suppressAutoHyphens/>
        <w:rPr>
          <w:rFonts w:eastAsia="Calibri"/>
          <w:bCs/>
          <w:sz w:val="18"/>
        </w:rPr>
      </w:pPr>
      <w:r w:rsidRPr="00EF5F1A">
        <w:rPr>
          <w:rFonts w:eastAsia="Calibri"/>
          <w:b/>
          <w:bCs/>
          <w:sz w:val="18"/>
        </w:rPr>
        <w:t>R277-497-1.  Authority, Purpose, and Oversight Category.</w:t>
      </w:r>
    </w:p>
    <w:p w14:paraId="2479B98E" w14:textId="77777777" w:rsidR="00D36354" w:rsidRPr="00EF5F1A" w:rsidRDefault="00D36354" w:rsidP="00D36354">
      <w:pPr>
        <w:widowControl/>
        <w:suppressAutoHyphens/>
        <w:rPr>
          <w:rFonts w:eastAsia="Calibri"/>
          <w:sz w:val="18"/>
        </w:rPr>
      </w:pPr>
      <w:r w:rsidRPr="00EF5F1A">
        <w:rPr>
          <w:rFonts w:eastAsia="Calibri"/>
          <w:bCs/>
          <w:sz w:val="18"/>
        </w:rPr>
        <w:tab/>
      </w:r>
      <w:r w:rsidRPr="00EF5F1A">
        <w:rPr>
          <w:rFonts w:eastAsia="Calibri"/>
          <w:sz w:val="18"/>
        </w:rPr>
        <w:t>(1)  This rule is authorized by:</w:t>
      </w:r>
    </w:p>
    <w:p w14:paraId="6CD045F0" w14:textId="77777777" w:rsidR="00D36354" w:rsidRPr="00EF5F1A" w:rsidRDefault="00D36354" w:rsidP="00D36354">
      <w:pPr>
        <w:widowControl/>
        <w:suppressAutoHyphens/>
        <w:rPr>
          <w:rFonts w:eastAsia="Calibri"/>
          <w:sz w:val="18"/>
        </w:rPr>
      </w:pPr>
      <w:r w:rsidRPr="00EF5F1A">
        <w:rPr>
          <w:rFonts w:eastAsia="Calibri"/>
          <w:sz w:val="18"/>
        </w:rPr>
        <w:tab/>
        <w:t>(a)  Utah Constitution Article X, Section 3, which vests general control and supervision of public education in the Board;</w:t>
      </w:r>
    </w:p>
    <w:p w14:paraId="0D1801BA" w14:textId="77777777" w:rsidR="00D36354" w:rsidRPr="00EF5F1A" w:rsidRDefault="00D36354" w:rsidP="00D36354">
      <w:pPr>
        <w:widowControl/>
        <w:suppressAutoHyphens/>
        <w:rPr>
          <w:rFonts w:eastAsia="Calibri"/>
          <w:sz w:val="18"/>
        </w:rPr>
      </w:pPr>
      <w:r w:rsidRPr="00EF5F1A">
        <w:rPr>
          <w:rFonts w:eastAsia="Calibri"/>
          <w:sz w:val="18"/>
        </w:rPr>
        <w:tab/>
        <w:t>(b)  Section 53E-5-202, which directs the Board to adopt rules to implement a statewide accountability system; and</w:t>
      </w:r>
    </w:p>
    <w:p w14:paraId="6D06E1A8" w14:textId="77777777" w:rsidR="00D36354" w:rsidRPr="00EF5F1A" w:rsidRDefault="00D36354" w:rsidP="00D36354">
      <w:pPr>
        <w:widowControl/>
        <w:suppressAutoHyphens/>
        <w:rPr>
          <w:rFonts w:eastAsia="Calibri"/>
          <w:sz w:val="18"/>
        </w:rPr>
      </w:pPr>
      <w:r w:rsidRPr="00EF5F1A">
        <w:rPr>
          <w:rFonts w:eastAsia="Calibri"/>
          <w:sz w:val="18"/>
        </w:rPr>
        <w:tab/>
        <w:t>(c)  Subsection 53E-3-401(4), which allows the Board to make rules to execute the Board's duties and responsibilities under the Utah Constitution and State law.</w:t>
      </w:r>
    </w:p>
    <w:p w14:paraId="3C0BE6DD" w14:textId="77777777" w:rsidR="00D36354" w:rsidRPr="00EF5F1A" w:rsidRDefault="00D36354" w:rsidP="00D36354">
      <w:pPr>
        <w:widowControl/>
        <w:suppressAutoHyphens/>
        <w:rPr>
          <w:rFonts w:eastAsia="Calibri"/>
          <w:sz w:val="18"/>
        </w:rPr>
      </w:pPr>
      <w:r w:rsidRPr="00EF5F1A">
        <w:rPr>
          <w:rFonts w:eastAsia="Calibri"/>
          <w:sz w:val="18"/>
        </w:rPr>
        <w:tab/>
        <w:t>(2)  The purpose of this rule is to establish performance thresholds for meaningfully differentiating schools, provisions for the methodology of calculating points, and exclusions from the school accountability system.</w:t>
      </w:r>
    </w:p>
    <w:p w14:paraId="2FA47771" w14:textId="77777777" w:rsidR="00D36354" w:rsidRPr="00EF5F1A" w:rsidRDefault="00D36354" w:rsidP="00D36354">
      <w:pPr>
        <w:widowControl/>
        <w:suppressAutoHyphens/>
        <w:rPr>
          <w:rFonts w:eastAsia="Calibri"/>
          <w:sz w:val="18"/>
        </w:rPr>
      </w:pPr>
      <w:r w:rsidRPr="00EF5F1A">
        <w:rPr>
          <w:rFonts w:eastAsia="Calibri"/>
          <w:sz w:val="18"/>
        </w:rPr>
        <w:tab/>
        <w:t>(3)  This rule is categorized as Category 3 as described in Rule R277-111.</w:t>
      </w:r>
    </w:p>
    <w:p w14:paraId="5386E4A5" w14:textId="77777777" w:rsidR="00D36354" w:rsidRPr="00EF5F1A" w:rsidRDefault="00D36354" w:rsidP="00D36354">
      <w:pPr>
        <w:widowControl/>
        <w:suppressAutoHyphens/>
        <w:rPr>
          <w:rFonts w:eastAsia="Calibri"/>
          <w:sz w:val="18"/>
        </w:rPr>
      </w:pPr>
    </w:p>
    <w:p w14:paraId="78FE696D" w14:textId="77777777" w:rsidR="00D36354" w:rsidRPr="00EF5F1A" w:rsidRDefault="00D36354" w:rsidP="00D36354">
      <w:pPr>
        <w:widowControl/>
        <w:suppressAutoHyphens/>
        <w:rPr>
          <w:rFonts w:eastAsia="Calibri"/>
          <w:bCs/>
          <w:sz w:val="18"/>
        </w:rPr>
      </w:pPr>
      <w:r w:rsidRPr="00EF5F1A">
        <w:rPr>
          <w:rFonts w:eastAsia="Calibri"/>
          <w:b/>
          <w:bCs/>
          <w:sz w:val="18"/>
        </w:rPr>
        <w:t>R277-497-2.  Indexing of Points for Calculating Academic Growth.</w:t>
      </w:r>
    </w:p>
    <w:p w14:paraId="531F727B" w14:textId="77777777" w:rsidR="00D36354" w:rsidRPr="00EF5F1A" w:rsidRDefault="00D36354" w:rsidP="00D36354">
      <w:pPr>
        <w:widowControl/>
        <w:suppressAutoHyphens/>
        <w:rPr>
          <w:rFonts w:eastAsia="Calibri"/>
          <w:sz w:val="18"/>
        </w:rPr>
      </w:pPr>
      <w:r w:rsidRPr="00EF5F1A">
        <w:rPr>
          <w:rFonts w:eastAsia="Calibri"/>
          <w:sz w:val="18"/>
        </w:rPr>
        <w:tab/>
        <w:t>(1)  For the purposes of calculating academic growth, the Superintendent shall assign each student a student growth percentile (SGP).</w:t>
      </w:r>
    </w:p>
    <w:p w14:paraId="7877CA7F" w14:textId="77777777" w:rsidR="00D36354" w:rsidRPr="00EF5F1A" w:rsidRDefault="00D36354" w:rsidP="00D36354">
      <w:pPr>
        <w:widowControl/>
        <w:suppressAutoHyphens/>
        <w:rPr>
          <w:rFonts w:eastAsia="Calibri"/>
          <w:sz w:val="18"/>
        </w:rPr>
      </w:pPr>
      <w:r w:rsidRPr="00EF5F1A">
        <w:rPr>
          <w:rFonts w:eastAsia="Calibri"/>
          <w:sz w:val="18"/>
        </w:rPr>
        <w:tab/>
        <w:t>(2)  The Superintendent shall assign point weights to a school for student growth as follows:</w:t>
      </w:r>
    </w:p>
    <w:p w14:paraId="26A066F8" w14:textId="77777777" w:rsidR="00D36354" w:rsidRPr="00EF5F1A" w:rsidRDefault="00D36354" w:rsidP="00D36354">
      <w:pPr>
        <w:widowControl/>
        <w:suppressAutoHyphens/>
        <w:rPr>
          <w:rFonts w:eastAsia="Calibri"/>
          <w:sz w:val="18"/>
        </w:rPr>
      </w:pPr>
      <w:r w:rsidRPr="00EF5F1A">
        <w:rPr>
          <w:rFonts w:eastAsia="Calibri"/>
          <w:sz w:val="18"/>
        </w:rPr>
        <w:tab/>
        <w:t>(a)  if the student's SGP is greater than 80, the weight is 1.0;</w:t>
      </w:r>
    </w:p>
    <w:p w14:paraId="729B033E" w14:textId="77777777" w:rsidR="00D36354" w:rsidRPr="00EF5F1A" w:rsidRDefault="00D36354" w:rsidP="00D36354">
      <w:pPr>
        <w:widowControl/>
        <w:suppressAutoHyphens/>
        <w:rPr>
          <w:rFonts w:eastAsia="Calibri"/>
          <w:sz w:val="18"/>
        </w:rPr>
      </w:pPr>
      <w:r w:rsidRPr="00EF5F1A">
        <w:rPr>
          <w:rFonts w:eastAsia="Calibri"/>
          <w:sz w:val="18"/>
        </w:rPr>
        <w:tab/>
        <w:t>(b)  if the student's SGP is between 60 and 79, the weight is 0.75;</w:t>
      </w:r>
    </w:p>
    <w:p w14:paraId="3FD868D8" w14:textId="77777777" w:rsidR="00D36354" w:rsidRPr="00EF5F1A" w:rsidRDefault="00D36354" w:rsidP="00D36354">
      <w:pPr>
        <w:widowControl/>
        <w:suppressAutoHyphens/>
        <w:rPr>
          <w:rFonts w:eastAsia="Calibri"/>
          <w:sz w:val="18"/>
        </w:rPr>
      </w:pPr>
      <w:r w:rsidRPr="00EF5F1A">
        <w:rPr>
          <w:rFonts w:eastAsia="Calibri"/>
          <w:sz w:val="18"/>
        </w:rPr>
        <w:tab/>
        <w:t>(c)  if the student's SGP is between 40 and 59, the weight is 0.50;</w:t>
      </w:r>
    </w:p>
    <w:p w14:paraId="6C3B021B" w14:textId="77777777" w:rsidR="00D36354" w:rsidRPr="00EF5F1A" w:rsidRDefault="00D36354" w:rsidP="00D36354">
      <w:pPr>
        <w:widowControl/>
        <w:suppressAutoHyphens/>
        <w:rPr>
          <w:rFonts w:eastAsia="Calibri"/>
          <w:sz w:val="18"/>
        </w:rPr>
      </w:pPr>
      <w:r w:rsidRPr="00EF5F1A">
        <w:rPr>
          <w:rFonts w:eastAsia="Calibri"/>
          <w:sz w:val="18"/>
        </w:rPr>
        <w:tab/>
        <w:t>(d)  if the student's SGP is between 20 and 39, the weight is 0.25; or</w:t>
      </w:r>
    </w:p>
    <w:p w14:paraId="2ECCA545" w14:textId="77777777" w:rsidR="00D36354" w:rsidRPr="00EF5F1A" w:rsidRDefault="00D36354" w:rsidP="00D36354">
      <w:pPr>
        <w:widowControl/>
        <w:suppressAutoHyphens/>
        <w:rPr>
          <w:rFonts w:eastAsia="Calibri"/>
          <w:sz w:val="18"/>
        </w:rPr>
      </w:pPr>
      <w:r w:rsidRPr="00EF5F1A">
        <w:rPr>
          <w:rFonts w:eastAsia="Calibri"/>
          <w:sz w:val="18"/>
        </w:rPr>
        <w:tab/>
        <w:t>(e)  if the student's SGP is less than 20, the weight is 0.</w:t>
      </w:r>
    </w:p>
    <w:p w14:paraId="7BED0B6C" w14:textId="77777777" w:rsidR="00D36354" w:rsidRPr="00EF5F1A" w:rsidRDefault="00D36354" w:rsidP="00D36354">
      <w:pPr>
        <w:widowControl/>
        <w:suppressAutoHyphens/>
        <w:rPr>
          <w:rFonts w:eastAsia="Calibri"/>
          <w:sz w:val="18"/>
        </w:rPr>
      </w:pPr>
      <w:r w:rsidRPr="00EF5F1A">
        <w:rPr>
          <w:rFonts w:eastAsia="Calibri"/>
          <w:sz w:val="18"/>
        </w:rPr>
        <w:tab/>
        <w:t>(3)  To determine the total growth points allocated to a school, the Superintendent shall:</w:t>
      </w:r>
    </w:p>
    <w:p w14:paraId="4FDC39C0" w14:textId="77777777" w:rsidR="00D36354" w:rsidRPr="00EF5F1A" w:rsidRDefault="00D36354" w:rsidP="00D36354">
      <w:pPr>
        <w:widowControl/>
        <w:suppressAutoHyphens/>
        <w:rPr>
          <w:rFonts w:eastAsia="Calibri"/>
          <w:sz w:val="18"/>
        </w:rPr>
      </w:pPr>
      <w:r w:rsidRPr="00EF5F1A">
        <w:rPr>
          <w:rFonts w:eastAsia="Calibri"/>
          <w:sz w:val="18"/>
        </w:rPr>
        <w:tab/>
        <w:t>(a)  add all the weights and divide by the total number of qualifying tests defined in the Utah Accountability Technical Manual, described in Subsection R277-497-3(5), to establish a percentage; and</w:t>
      </w:r>
    </w:p>
    <w:p w14:paraId="4EA05CFB" w14:textId="77777777" w:rsidR="00D36354" w:rsidRPr="00EF5F1A" w:rsidRDefault="00D36354" w:rsidP="00D36354">
      <w:pPr>
        <w:widowControl/>
        <w:suppressAutoHyphens/>
        <w:rPr>
          <w:rFonts w:eastAsia="Calibri"/>
          <w:sz w:val="18"/>
        </w:rPr>
      </w:pPr>
      <w:r w:rsidRPr="00EF5F1A">
        <w:rPr>
          <w:rFonts w:eastAsia="Calibri"/>
          <w:sz w:val="18"/>
        </w:rPr>
        <w:tab/>
        <w:t>(b)  multiply the percentage by the total growth points possible.</w:t>
      </w:r>
    </w:p>
    <w:p w14:paraId="791BE80A" w14:textId="77777777" w:rsidR="00D36354" w:rsidRPr="00EF5F1A" w:rsidRDefault="00D36354" w:rsidP="00D36354">
      <w:pPr>
        <w:widowControl/>
        <w:suppressAutoHyphens/>
        <w:rPr>
          <w:rFonts w:eastAsia="Calibri"/>
          <w:sz w:val="18"/>
        </w:rPr>
      </w:pPr>
    </w:p>
    <w:p w14:paraId="3EA1C630" w14:textId="77777777" w:rsidR="00D36354" w:rsidRPr="00EF5F1A" w:rsidRDefault="00D36354" w:rsidP="00D36354">
      <w:pPr>
        <w:widowControl/>
        <w:suppressAutoHyphens/>
        <w:rPr>
          <w:rFonts w:eastAsia="Calibri"/>
          <w:bCs/>
          <w:sz w:val="18"/>
        </w:rPr>
      </w:pPr>
      <w:r w:rsidRPr="00EF5F1A">
        <w:rPr>
          <w:rFonts w:eastAsia="Calibri"/>
          <w:b/>
          <w:bCs/>
          <w:sz w:val="18"/>
        </w:rPr>
        <w:t>R277-497-3.  Specific Provisions on Calculation of Points.</w:t>
      </w:r>
    </w:p>
    <w:p w14:paraId="5F3CF155" w14:textId="77777777" w:rsidR="00D36354" w:rsidRPr="00EF5F1A" w:rsidRDefault="00D36354" w:rsidP="00D36354">
      <w:pPr>
        <w:widowControl/>
        <w:suppressAutoHyphens/>
        <w:rPr>
          <w:rFonts w:eastAsia="Calibri"/>
          <w:sz w:val="18"/>
        </w:rPr>
      </w:pPr>
      <w:r w:rsidRPr="00EF5F1A">
        <w:rPr>
          <w:rFonts w:eastAsia="Calibri"/>
          <w:sz w:val="18"/>
        </w:rPr>
        <w:tab/>
        <w:t>(1)(a)  In accordance with Subsection 53E-5-207(4)(c)(ii), the Superintendent shall award 10% of the points allocated for high school graduation based on a school's five-year graduation rate.</w:t>
      </w:r>
    </w:p>
    <w:p w14:paraId="4003382C" w14:textId="77777777" w:rsidR="00D36354" w:rsidRPr="00EF5F1A" w:rsidRDefault="00D36354" w:rsidP="00D36354">
      <w:pPr>
        <w:widowControl/>
        <w:suppressAutoHyphens/>
        <w:rPr>
          <w:rFonts w:eastAsia="Calibri"/>
          <w:sz w:val="18"/>
        </w:rPr>
      </w:pPr>
      <w:r w:rsidRPr="00EF5F1A">
        <w:rPr>
          <w:rFonts w:eastAsia="Calibri"/>
          <w:sz w:val="18"/>
        </w:rPr>
        <w:tab/>
        <w:t>(b)  A school may not earn more than the total number of points possible for the graduation rate indicator.</w:t>
      </w:r>
    </w:p>
    <w:p w14:paraId="568ED835" w14:textId="77777777" w:rsidR="00D36354" w:rsidRPr="00EF5F1A" w:rsidRDefault="00D36354" w:rsidP="00D36354">
      <w:pPr>
        <w:widowControl/>
        <w:suppressAutoHyphens/>
        <w:rPr>
          <w:rFonts w:eastAsia="Calibri"/>
          <w:sz w:val="18"/>
        </w:rPr>
      </w:pPr>
      <w:r w:rsidRPr="00EF5F1A">
        <w:rPr>
          <w:rFonts w:eastAsia="Calibri"/>
          <w:sz w:val="18"/>
        </w:rPr>
        <w:tab/>
        <w:t>(2)(a)  In accordance with Section 53E-5-210, the Superintendent shall determine that an ELL student meets adequate progress if the ELL student has an increase in proficiency level as described in the Utah Accountability Technical Manual on an English language proficiency assessment approved by the Board and designated in Rule R277-404.</w:t>
      </w:r>
    </w:p>
    <w:p w14:paraId="41095C7E" w14:textId="77777777" w:rsidR="00D36354" w:rsidRPr="00EF5F1A" w:rsidRDefault="00D36354" w:rsidP="00D36354">
      <w:pPr>
        <w:widowControl/>
        <w:suppressAutoHyphens/>
        <w:rPr>
          <w:rFonts w:eastAsia="Calibri"/>
          <w:sz w:val="18"/>
        </w:rPr>
      </w:pPr>
      <w:r w:rsidRPr="00EF5F1A">
        <w:rPr>
          <w:rFonts w:eastAsia="Calibri"/>
          <w:sz w:val="18"/>
        </w:rPr>
        <w:tab/>
        <w:t>(3)(a)  For a school that chooses to include additional quality indicators on its school report card, the school may choose up to two additional self-reported indicators.</w:t>
      </w:r>
    </w:p>
    <w:p w14:paraId="1F2E358D" w14:textId="77777777" w:rsidR="00D36354" w:rsidRPr="00EF5F1A" w:rsidRDefault="00D36354" w:rsidP="00D36354">
      <w:pPr>
        <w:widowControl/>
        <w:suppressAutoHyphens/>
        <w:rPr>
          <w:rFonts w:eastAsia="Calibri"/>
          <w:sz w:val="18"/>
        </w:rPr>
      </w:pPr>
      <w:r w:rsidRPr="00EF5F1A">
        <w:rPr>
          <w:rFonts w:eastAsia="Calibri"/>
          <w:sz w:val="18"/>
        </w:rPr>
        <w:tab/>
        <w:t>(b)  The Superintendent shall approve a list of indicators that a school may use for purposes of Subsection (3)(a), and may also approve other indicators that an LEA may submit for consideration.</w:t>
      </w:r>
    </w:p>
    <w:p w14:paraId="4AC92BA7" w14:textId="77777777" w:rsidR="00D36354" w:rsidRPr="00EF5F1A" w:rsidRDefault="00D36354" w:rsidP="00D36354">
      <w:pPr>
        <w:widowControl/>
        <w:suppressAutoHyphens/>
        <w:rPr>
          <w:rFonts w:eastAsia="Calibri"/>
          <w:sz w:val="18"/>
        </w:rPr>
      </w:pPr>
      <w:r w:rsidRPr="00EF5F1A">
        <w:rPr>
          <w:rFonts w:eastAsia="Calibri"/>
          <w:sz w:val="18"/>
        </w:rPr>
        <w:tab/>
        <w:t>(c)  The Superintendent shall publish the pre-approved self-reported indicators list on the Assessment and Accountability section of the USBE website.</w:t>
      </w:r>
    </w:p>
    <w:p w14:paraId="229C7FCF" w14:textId="77777777" w:rsidR="00D36354" w:rsidRPr="00EF5F1A" w:rsidRDefault="00D36354" w:rsidP="00D36354">
      <w:pPr>
        <w:widowControl/>
        <w:suppressAutoHyphens/>
        <w:rPr>
          <w:rFonts w:eastAsia="Calibri"/>
          <w:sz w:val="18"/>
        </w:rPr>
      </w:pPr>
      <w:r w:rsidRPr="00EF5F1A">
        <w:rPr>
          <w:rFonts w:eastAsia="Calibri"/>
          <w:sz w:val="18"/>
        </w:rPr>
        <w:tab/>
        <w:t>(d)  If a school elects to include the additional self-reported indicators, the school shall notify the Superintendent by established due dates.</w:t>
      </w:r>
    </w:p>
    <w:p w14:paraId="68DFEF61" w14:textId="77777777" w:rsidR="00D36354" w:rsidRPr="00EF5F1A" w:rsidRDefault="00D36354" w:rsidP="00D36354">
      <w:pPr>
        <w:widowControl/>
        <w:suppressAutoHyphens/>
        <w:rPr>
          <w:rFonts w:eastAsia="Calibri"/>
          <w:sz w:val="18"/>
        </w:rPr>
      </w:pPr>
      <w:r w:rsidRPr="00EF5F1A">
        <w:rPr>
          <w:rFonts w:eastAsia="Calibri"/>
          <w:sz w:val="18"/>
        </w:rPr>
        <w:tab/>
        <w:t>(4)  When calculating postsecondary readiness points for a high school student's performance on a college readiness assessment, the Superintendent shall use the student's ACT score obtained during the statewide administration of ACT.</w:t>
      </w:r>
    </w:p>
    <w:p w14:paraId="71EF4B81" w14:textId="77777777" w:rsidR="00D36354" w:rsidRPr="00EF5F1A" w:rsidRDefault="00D36354" w:rsidP="00D36354">
      <w:pPr>
        <w:widowControl/>
        <w:suppressAutoHyphens/>
        <w:rPr>
          <w:rFonts w:eastAsia="Calibri"/>
          <w:sz w:val="18"/>
        </w:rPr>
      </w:pPr>
      <w:r w:rsidRPr="00EF5F1A">
        <w:rPr>
          <w:rFonts w:eastAsia="Calibri"/>
          <w:sz w:val="18"/>
        </w:rPr>
        <w:tab/>
        <w:t>(5)  The Superintendent shall publish the Utah Accountability Technical Manual on the USBE website, which includes:</w:t>
      </w:r>
    </w:p>
    <w:p w14:paraId="043089F4" w14:textId="77777777" w:rsidR="00D36354" w:rsidRPr="00EF5F1A" w:rsidRDefault="00D36354" w:rsidP="00D36354">
      <w:pPr>
        <w:widowControl/>
        <w:suppressAutoHyphens/>
        <w:rPr>
          <w:rFonts w:eastAsia="Calibri"/>
          <w:sz w:val="18"/>
        </w:rPr>
      </w:pPr>
      <w:r w:rsidRPr="00EF5F1A">
        <w:rPr>
          <w:rFonts w:eastAsia="Calibri"/>
          <w:sz w:val="18"/>
        </w:rPr>
        <w:tab/>
        <w:t>(a)  additional technical details on the calculation of points;</w:t>
      </w:r>
    </w:p>
    <w:p w14:paraId="5529134E" w14:textId="77777777" w:rsidR="00D36354" w:rsidRPr="00EF5F1A" w:rsidRDefault="00D36354" w:rsidP="00D36354">
      <w:pPr>
        <w:widowControl/>
        <w:suppressAutoHyphens/>
        <w:rPr>
          <w:rFonts w:eastAsia="Calibri"/>
          <w:sz w:val="18"/>
        </w:rPr>
      </w:pPr>
      <w:r w:rsidRPr="00EF5F1A">
        <w:rPr>
          <w:rFonts w:eastAsia="Calibri"/>
          <w:sz w:val="18"/>
        </w:rPr>
        <w:tab/>
        <w:t>(b)  business rules;</w:t>
      </w:r>
    </w:p>
    <w:p w14:paraId="23D683FC" w14:textId="77777777" w:rsidR="00D36354" w:rsidRPr="00EF5F1A" w:rsidRDefault="00D36354" w:rsidP="00D36354">
      <w:pPr>
        <w:widowControl/>
        <w:suppressAutoHyphens/>
        <w:rPr>
          <w:rFonts w:eastAsia="Calibri"/>
          <w:sz w:val="18"/>
        </w:rPr>
      </w:pPr>
      <w:r w:rsidRPr="00EF5F1A">
        <w:rPr>
          <w:rFonts w:eastAsia="Calibri"/>
          <w:sz w:val="18"/>
        </w:rPr>
        <w:tab/>
        <w:t>(c)  detailed explanations on the methodologies for the calculation of achievement, student growth, equitable education opportunity, and postsecondary readiness and;</w:t>
      </w:r>
    </w:p>
    <w:p w14:paraId="77921C8E" w14:textId="77777777" w:rsidR="00D36354" w:rsidRPr="00EF5F1A" w:rsidRDefault="00D36354" w:rsidP="00D36354">
      <w:pPr>
        <w:widowControl/>
        <w:suppressAutoHyphens/>
        <w:rPr>
          <w:rFonts w:eastAsia="Calibri"/>
          <w:sz w:val="18"/>
        </w:rPr>
      </w:pPr>
      <w:r w:rsidRPr="00EF5F1A">
        <w:rPr>
          <w:rFonts w:eastAsia="Calibri"/>
          <w:sz w:val="18"/>
        </w:rPr>
        <w:tab/>
        <w:t>(d)  other indicators to appropriately assess the educational impact of a school that serves a special student population.</w:t>
      </w:r>
    </w:p>
    <w:p w14:paraId="5BD9612E" w14:textId="77777777" w:rsidR="00D36354" w:rsidRPr="00EF5F1A" w:rsidRDefault="00D36354" w:rsidP="00D36354">
      <w:pPr>
        <w:widowControl/>
        <w:suppressAutoHyphens/>
        <w:rPr>
          <w:rFonts w:eastAsia="Calibri"/>
          <w:sz w:val="18"/>
        </w:rPr>
      </w:pPr>
    </w:p>
    <w:p w14:paraId="3D720C69" w14:textId="77777777" w:rsidR="00D36354" w:rsidRPr="00EF5F1A" w:rsidRDefault="00D36354" w:rsidP="00D36354">
      <w:pPr>
        <w:widowControl/>
        <w:suppressAutoHyphens/>
        <w:rPr>
          <w:rFonts w:eastAsia="Calibri"/>
          <w:bCs/>
          <w:sz w:val="18"/>
        </w:rPr>
      </w:pPr>
      <w:r w:rsidRPr="00EF5F1A">
        <w:rPr>
          <w:rFonts w:eastAsia="Calibri"/>
          <w:b/>
          <w:bCs/>
          <w:sz w:val="18"/>
        </w:rPr>
        <w:t>R277-497-4.  Exclusions From the Accountability System and Indicators for Schools Serving a Special Student Population.</w:t>
      </w:r>
    </w:p>
    <w:p w14:paraId="5B52E4CB" w14:textId="77777777" w:rsidR="00D36354" w:rsidRPr="00EF5F1A" w:rsidRDefault="00D36354" w:rsidP="00D36354">
      <w:pPr>
        <w:widowControl/>
        <w:suppressAutoHyphens/>
        <w:rPr>
          <w:rFonts w:eastAsia="Calibri"/>
          <w:sz w:val="18"/>
        </w:rPr>
      </w:pPr>
      <w:r w:rsidRPr="00EF5F1A">
        <w:rPr>
          <w:rFonts w:eastAsia="Calibri"/>
          <w:sz w:val="18"/>
        </w:rPr>
        <w:tab/>
        <w:t>(1)(a)  In determining schools to exempt from the school accountability system, in accordance with Section 53E-5-203, the Superintendent shall exempt a school in which the number of students tested on a statewide assessment is less than 10.</w:t>
      </w:r>
    </w:p>
    <w:p w14:paraId="162038FC" w14:textId="77777777" w:rsidR="00D36354" w:rsidRPr="00EF5F1A" w:rsidRDefault="00D36354" w:rsidP="00D36354">
      <w:pPr>
        <w:widowControl/>
        <w:suppressAutoHyphens/>
        <w:rPr>
          <w:rFonts w:eastAsia="Calibri"/>
          <w:sz w:val="18"/>
        </w:rPr>
      </w:pPr>
      <w:r w:rsidRPr="00EF5F1A">
        <w:rPr>
          <w:rFonts w:eastAsia="Calibri"/>
          <w:sz w:val="18"/>
        </w:rPr>
        <w:tab/>
        <w:t>(b)  The Superintendent may not report any school indicator for which the student group size for that indicator is less than 10.</w:t>
      </w:r>
    </w:p>
    <w:p w14:paraId="6D36CAF9" w14:textId="77777777" w:rsidR="00D36354" w:rsidRPr="00EF5F1A" w:rsidRDefault="00D36354" w:rsidP="00D36354">
      <w:pPr>
        <w:widowControl/>
        <w:suppressAutoHyphens/>
        <w:rPr>
          <w:rFonts w:eastAsia="Calibri"/>
          <w:sz w:val="18"/>
        </w:rPr>
      </w:pPr>
      <w:r w:rsidRPr="00EF5F1A">
        <w:rPr>
          <w:rFonts w:eastAsia="Calibri"/>
          <w:sz w:val="18"/>
        </w:rPr>
        <w:tab/>
        <w:t>(2)  The Superintendent shall publish other indicators, in addition to indicators described in Sections 53E-5-205 and 53E-5-206, to appropriately assess the educational impact of a school that serves a special student population.</w:t>
      </w:r>
    </w:p>
    <w:p w14:paraId="6A15B1D5" w14:textId="77777777" w:rsidR="00D36354" w:rsidRPr="00EF5F1A" w:rsidRDefault="00D36354" w:rsidP="00D36354">
      <w:pPr>
        <w:widowControl/>
        <w:suppressAutoHyphens/>
        <w:rPr>
          <w:rFonts w:eastAsia="Calibri"/>
          <w:bCs/>
          <w:sz w:val="18"/>
        </w:rPr>
      </w:pPr>
    </w:p>
    <w:p w14:paraId="5D54307D" w14:textId="77777777" w:rsidR="00D36354" w:rsidRPr="00EF5F1A" w:rsidRDefault="00D36354" w:rsidP="00D36354">
      <w:pPr>
        <w:widowControl/>
        <w:suppressAutoHyphens/>
        <w:rPr>
          <w:rFonts w:eastAsia="Calibri"/>
          <w:bCs/>
          <w:sz w:val="18"/>
        </w:rPr>
      </w:pPr>
      <w:r w:rsidRPr="00EF5F1A">
        <w:rPr>
          <w:rFonts w:eastAsia="Calibri"/>
          <w:b/>
          <w:bCs/>
          <w:sz w:val="18"/>
        </w:rPr>
        <w:t>KEY:  school reports, school grading accountability</w:t>
      </w:r>
    </w:p>
    <w:p w14:paraId="01D50BC6" w14:textId="3E51BF74" w:rsidR="00D36354" w:rsidRPr="00EF5F1A" w:rsidRDefault="00D36354" w:rsidP="00D36354">
      <w:pPr>
        <w:widowControl/>
        <w:suppressAutoHyphens/>
        <w:rPr>
          <w:rFonts w:eastAsia="Calibri"/>
          <w:bCs/>
          <w:sz w:val="18"/>
        </w:rPr>
      </w:pPr>
      <w:r w:rsidRPr="00EF5F1A">
        <w:rPr>
          <w:rFonts w:eastAsia="Calibri"/>
          <w:b/>
          <w:bCs/>
          <w:sz w:val="18"/>
        </w:rPr>
        <w:t xml:space="preserve">Date of Last Change:  </w:t>
      </w:r>
      <w:r w:rsidR="00EF5402" w:rsidRPr="00EF5F1A">
        <w:rPr>
          <w:rFonts w:eastAsia="Calibri"/>
          <w:b/>
          <w:bCs/>
          <w:sz w:val="18"/>
        </w:rPr>
        <w:t xml:space="preserve">July 8, </w:t>
      </w:r>
      <w:r w:rsidRPr="00EF5F1A">
        <w:rPr>
          <w:rFonts w:eastAsia="Calibri"/>
          <w:b/>
          <w:bCs/>
          <w:sz w:val="18"/>
        </w:rPr>
        <w:t>2025</w:t>
      </w:r>
    </w:p>
    <w:p w14:paraId="65314EAB" w14:textId="66039A02" w:rsidR="00D36354" w:rsidRPr="00EF5F1A" w:rsidRDefault="00D36354" w:rsidP="00D36354">
      <w:pPr>
        <w:widowControl/>
        <w:suppressAutoHyphens/>
        <w:rPr>
          <w:rFonts w:eastAsia="Calibri"/>
          <w:bCs/>
          <w:sz w:val="18"/>
        </w:rPr>
      </w:pPr>
      <w:r w:rsidRPr="00EF5F1A">
        <w:rPr>
          <w:rFonts w:eastAsia="Calibri"/>
          <w:b/>
          <w:bCs/>
          <w:sz w:val="18"/>
        </w:rPr>
        <w:lastRenderedPageBreak/>
        <w:t xml:space="preserve">Notice of Continuation:  </w:t>
      </w:r>
      <w:r w:rsidR="00C61947" w:rsidRPr="00EF5F1A">
        <w:rPr>
          <w:rFonts w:eastAsia="Calibri"/>
          <w:b/>
          <w:bCs/>
          <w:sz w:val="18"/>
        </w:rPr>
        <w:t>May 14, 2025</w:t>
      </w:r>
    </w:p>
    <w:p w14:paraId="2FA3E89D" w14:textId="77777777" w:rsidR="00D36354" w:rsidRPr="00EF5F1A" w:rsidRDefault="00D36354" w:rsidP="00D36354">
      <w:pPr>
        <w:widowControl/>
        <w:suppressAutoHyphens/>
        <w:rPr>
          <w:bCs/>
          <w:sz w:val="18"/>
        </w:rPr>
      </w:pPr>
      <w:r w:rsidRPr="00EF5F1A">
        <w:rPr>
          <w:rFonts w:eastAsia="Calibri"/>
          <w:b/>
          <w:bCs/>
          <w:sz w:val="18"/>
        </w:rPr>
        <w:t>Authorizing, and Implemented or Interpreted Law:  Art X, Sec 3; 53E-5-202; 53E-3-401(4)</w:t>
      </w:r>
    </w:p>
    <w:p w14:paraId="3E1FAE7F" w14:textId="77777777" w:rsidR="00D36354" w:rsidRPr="00EF5F1A" w:rsidRDefault="00D36354" w:rsidP="00D36354">
      <w:pPr>
        <w:widowControl/>
        <w:suppressAutoHyphens/>
        <w:rPr>
          <w:bCs/>
          <w:sz w:val="18"/>
        </w:rPr>
      </w:pPr>
    </w:p>
    <w:p w14:paraId="1D2C19B9" w14:textId="7FEF7A11" w:rsidR="008D42B6" w:rsidRPr="00EF5F1A" w:rsidRDefault="008D42B6" w:rsidP="00D36354">
      <w:pPr>
        <w:widowControl/>
        <w:suppressAutoHyphens/>
        <w:rPr>
          <w:sz w:val="18"/>
        </w:rPr>
      </w:pPr>
    </w:p>
    <w:sectPr w:rsidR="008D42B6" w:rsidRPr="00EF5F1A" w:rsidSect="00EF5F1A">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729FF3" w14:textId="77777777" w:rsidR="001D65BC" w:rsidRDefault="001D65BC" w:rsidP="00C17968">
      <w:r>
        <w:separator/>
      </w:r>
    </w:p>
  </w:endnote>
  <w:endnote w:type="continuationSeparator" w:id="0">
    <w:p w14:paraId="5A9E2B89" w14:textId="77777777" w:rsidR="001D65BC" w:rsidRDefault="001D65BC"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auto"/>
    <w:notTrueType/>
    <w:pitch w:val="variable"/>
    <w:sig w:usb0="00000003"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795B9E" w14:textId="77777777" w:rsidR="001D65BC" w:rsidRDefault="001D65BC" w:rsidP="00C17968">
      <w:r>
        <w:separator/>
      </w:r>
    </w:p>
  </w:footnote>
  <w:footnote w:type="continuationSeparator" w:id="0">
    <w:p w14:paraId="382ABE62" w14:textId="77777777" w:rsidR="001D65BC" w:rsidRDefault="001D65BC"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16820"/>
    <w:rsid w:val="00026498"/>
    <w:rsid w:val="00027A64"/>
    <w:rsid w:val="0003198B"/>
    <w:rsid w:val="00050AB6"/>
    <w:rsid w:val="00053C6F"/>
    <w:rsid w:val="0005628D"/>
    <w:rsid w:val="000626CB"/>
    <w:rsid w:val="000772CA"/>
    <w:rsid w:val="00082483"/>
    <w:rsid w:val="00083289"/>
    <w:rsid w:val="00086A4C"/>
    <w:rsid w:val="00092D64"/>
    <w:rsid w:val="000A63C1"/>
    <w:rsid w:val="000B0C8F"/>
    <w:rsid w:val="000C0F74"/>
    <w:rsid w:val="000C3C78"/>
    <w:rsid w:val="000D6CFD"/>
    <w:rsid w:val="000E034A"/>
    <w:rsid w:val="000E1733"/>
    <w:rsid w:val="000E39E3"/>
    <w:rsid w:val="000E7CDD"/>
    <w:rsid w:val="000F1B9E"/>
    <w:rsid w:val="000F230C"/>
    <w:rsid w:val="00101FCF"/>
    <w:rsid w:val="00102BB0"/>
    <w:rsid w:val="001031EE"/>
    <w:rsid w:val="00110E10"/>
    <w:rsid w:val="00113216"/>
    <w:rsid w:val="00117F2A"/>
    <w:rsid w:val="00124472"/>
    <w:rsid w:val="001244A0"/>
    <w:rsid w:val="00136C69"/>
    <w:rsid w:val="00136E6B"/>
    <w:rsid w:val="00140B4F"/>
    <w:rsid w:val="001419F1"/>
    <w:rsid w:val="001430BE"/>
    <w:rsid w:val="001459AF"/>
    <w:rsid w:val="00151B36"/>
    <w:rsid w:val="001579E8"/>
    <w:rsid w:val="001641A3"/>
    <w:rsid w:val="001645F8"/>
    <w:rsid w:val="001674D3"/>
    <w:rsid w:val="001769DF"/>
    <w:rsid w:val="0018100B"/>
    <w:rsid w:val="001857CF"/>
    <w:rsid w:val="00190064"/>
    <w:rsid w:val="00190B25"/>
    <w:rsid w:val="001A632E"/>
    <w:rsid w:val="001B1B40"/>
    <w:rsid w:val="001B3B79"/>
    <w:rsid w:val="001B734F"/>
    <w:rsid w:val="001C3DAB"/>
    <w:rsid w:val="001C7CA9"/>
    <w:rsid w:val="001D0BCD"/>
    <w:rsid w:val="001D1727"/>
    <w:rsid w:val="001D65BC"/>
    <w:rsid w:val="001D71AE"/>
    <w:rsid w:val="001E253C"/>
    <w:rsid w:val="001E33A4"/>
    <w:rsid w:val="001F0835"/>
    <w:rsid w:val="001F3F85"/>
    <w:rsid w:val="001F592E"/>
    <w:rsid w:val="001F78BA"/>
    <w:rsid w:val="00203E38"/>
    <w:rsid w:val="00210E2C"/>
    <w:rsid w:val="00214BA0"/>
    <w:rsid w:val="00223AD7"/>
    <w:rsid w:val="00225D5C"/>
    <w:rsid w:val="00230D7D"/>
    <w:rsid w:val="002338B6"/>
    <w:rsid w:val="002356F0"/>
    <w:rsid w:val="00250B69"/>
    <w:rsid w:val="00253C3B"/>
    <w:rsid w:val="00253FEE"/>
    <w:rsid w:val="00256032"/>
    <w:rsid w:val="002639EB"/>
    <w:rsid w:val="00266359"/>
    <w:rsid w:val="00272D20"/>
    <w:rsid w:val="00274FA5"/>
    <w:rsid w:val="00282CAA"/>
    <w:rsid w:val="00283435"/>
    <w:rsid w:val="00287A56"/>
    <w:rsid w:val="00291DCA"/>
    <w:rsid w:val="00296B2B"/>
    <w:rsid w:val="00297523"/>
    <w:rsid w:val="002A7CDA"/>
    <w:rsid w:val="002B2F4E"/>
    <w:rsid w:val="002B37B8"/>
    <w:rsid w:val="002B5227"/>
    <w:rsid w:val="002B52BD"/>
    <w:rsid w:val="002B721A"/>
    <w:rsid w:val="002C31EE"/>
    <w:rsid w:val="002D4474"/>
    <w:rsid w:val="002E2EFF"/>
    <w:rsid w:val="002E6F38"/>
    <w:rsid w:val="002F3E44"/>
    <w:rsid w:val="002F45BF"/>
    <w:rsid w:val="00300819"/>
    <w:rsid w:val="003121D3"/>
    <w:rsid w:val="00316A41"/>
    <w:rsid w:val="003217E6"/>
    <w:rsid w:val="00327285"/>
    <w:rsid w:val="00335956"/>
    <w:rsid w:val="0033622C"/>
    <w:rsid w:val="00342459"/>
    <w:rsid w:val="003424B4"/>
    <w:rsid w:val="00373FE5"/>
    <w:rsid w:val="00380D52"/>
    <w:rsid w:val="003923F0"/>
    <w:rsid w:val="00395A79"/>
    <w:rsid w:val="00396A56"/>
    <w:rsid w:val="003A5227"/>
    <w:rsid w:val="003A669F"/>
    <w:rsid w:val="003B1EAB"/>
    <w:rsid w:val="003B6116"/>
    <w:rsid w:val="003B6343"/>
    <w:rsid w:val="003C365D"/>
    <w:rsid w:val="003D265A"/>
    <w:rsid w:val="003D3934"/>
    <w:rsid w:val="003D601B"/>
    <w:rsid w:val="003E042C"/>
    <w:rsid w:val="003E1C16"/>
    <w:rsid w:val="003E5B65"/>
    <w:rsid w:val="003E6785"/>
    <w:rsid w:val="003F4B92"/>
    <w:rsid w:val="003F64A7"/>
    <w:rsid w:val="003F6A4F"/>
    <w:rsid w:val="00402912"/>
    <w:rsid w:val="00403755"/>
    <w:rsid w:val="00404234"/>
    <w:rsid w:val="0041001A"/>
    <w:rsid w:val="00414E0D"/>
    <w:rsid w:val="00421562"/>
    <w:rsid w:val="00427373"/>
    <w:rsid w:val="00430473"/>
    <w:rsid w:val="00442080"/>
    <w:rsid w:val="004423A3"/>
    <w:rsid w:val="004457BB"/>
    <w:rsid w:val="00457B35"/>
    <w:rsid w:val="00462360"/>
    <w:rsid w:val="00465A08"/>
    <w:rsid w:val="00473DC4"/>
    <w:rsid w:val="00476E25"/>
    <w:rsid w:val="004803F6"/>
    <w:rsid w:val="004A031A"/>
    <w:rsid w:val="004A2BD7"/>
    <w:rsid w:val="004A4986"/>
    <w:rsid w:val="004B7F3B"/>
    <w:rsid w:val="004C20EA"/>
    <w:rsid w:val="004C4015"/>
    <w:rsid w:val="004D30DD"/>
    <w:rsid w:val="004D328F"/>
    <w:rsid w:val="004D418B"/>
    <w:rsid w:val="004D55F1"/>
    <w:rsid w:val="004E2CFF"/>
    <w:rsid w:val="004E5F67"/>
    <w:rsid w:val="004F5C8E"/>
    <w:rsid w:val="00505999"/>
    <w:rsid w:val="00516E14"/>
    <w:rsid w:val="00537304"/>
    <w:rsid w:val="00541763"/>
    <w:rsid w:val="0054563F"/>
    <w:rsid w:val="00546795"/>
    <w:rsid w:val="00550F3B"/>
    <w:rsid w:val="00551480"/>
    <w:rsid w:val="0055444C"/>
    <w:rsid w:val="005556D4"/>
    <w:rsid w:val="00562503"/>
    <w:rsid w:val="00563DBC"/>
    <w:rsid w:val="005643AC"/>
    <w:rsid w:val="0057263E"/>
    <w:rsid w:val="005732E8"/>
    <w:rsid w:val="00574132"/>
    <w:rsid w:val="00583378"/>
    <w:rsid w:val="00585B65"/>
    <w:rsid w:val="005879FB"/>
    <w:rsid w:val="00590D6C"/>
    <w:rsid w:val="00594721"/>
    <w:rsid w:val="00594E8B"/>
    <w:rsid w:val="005960C4"/>
    <w:rsid w:val="005A463F"/>
    <w:rsid w:val="005A6E0E"/>
    <w:rsid w:val="005A7398"/>
    <w:rsid w:val="005B34F5"/>
    <w:rsid w:val="005B4EE0"/>
    <w:rsid w:val="005C024A"/>
    <w:rsid w:val="005C16BB"/>
    <w:rsid w:val="005D674B"/>
    <w:rsid w:val="005D6A7E"/>
    <w:rsid w:val="005F0218"/>
    <w:rsid w:val="005F7305"/>
    <w:rsid w:val="00602EDB"/>
    <w:rsid w:val="00603CA9"/>
    <w:rsid w:val="00617D1E"/>
    <w:rsid w:val="006300D0"/>
    <w:rsid w:val="00630808"/>
    <w:rsid w:val="00631C68"/>
    <w:rsid w:val="00637ACD"/>
    <w:rsid w:val="006431BE"/>
    <w:rsid w:val="00646433"/>
    <w:rsid w:val="00646E1C"/>
    <w:rsid w:val="006475A6"/>
    <w:rsid w:val="00655FB6"/>
    <w:rsid w:val="00656872"/>
    <w:rsid w:val="006604BD"/>
    <w:rsid w:val="006661C3"/>
    <w:rsid w:val="006667C3"/>
    <w:rsid w:val="006741D4"/>
    <w:rsid w:val="00674BD6"/>
    <w:rsid w:val="00680BDE"/>
    <w:rsid w:val="00682427"/>
    <w:rsid w:val="0069040D"/>
    <w:rsid w:val="006936DF"/>
    <w:rsid w:val="00695614"/>
    <w:rsid w:val="006A3F24"/>
    <w:rsid w:val="006A722D"/>
    <w:rsid w:val="006A78D2"/>
    <w:rsid w:val="006A7D14"/>
    <w:rsid w:val="006B70AF"/>
    <w:rsid w:val="006C6E4F"/>
    <w:rsid w:val="006D167F"/>
    <w:rsid w:val="006E0D02"/>
    <w:rsid w:val="006E2AB0"/>
    <w:rsid w:val="006E76A8"/>
    <w:rsid w:val="007019DF"/>
    <w:rsid w:val="007047A1"/>
    <w:rsid w:val="007071C7"/>
    <w:rsid w:val="00713104"/>
    <w:rsid w:val="00715301"/>
    <w:rsid w:val="00716F7B"/>
    <w:rsid w:val="007231FC"/>
    <w:rsid w:val="00723781"/>
    <w:rsid w:val="00723BDF"/>
    <w:rsid w:val="00733238"/>
    <w:rsid w:val="00736DC2"/>
    <w:rsid w:val="00743707"/>
    <w:rsid w:val="00753C35"/>
    <w:rsid w:val="007613E9"/>
    <w:rsid w:val="00761892"/>
    <w:rsid w:val="00762B0F"/>
    <w:rsid w:val="00762BDA"/>
    <w:rsid w:val="007649E5"/>
    <w:rsid w:val="007706AB"/>
    <w:rsid w:val="00772653"/>
    <w:rsid w:val="00777780"/>
    <w:rsid w:val="007873C7"/>
    <w:rsid w:val="00796BA5"/>
    <w:rsid w:val="007A1FEA"/>
    <w:rsid w:val="007A36A9"/>
    <w:rsid w:val="007B6C82"/>
    <w:rsid w:val="007C21BC"/>
    <w:rsid w:val="007C3F4F"/>
    <w:rsid w:val="007C6273"/>
    <w:rsid w:val="007C6BBC"/>
    <w:rsid w:val="007D0B87"/>
    <w:rsid w:val="007D1F9D"/>
    <w:rsid w:val="007D2CEF"/>
    <w:rsid w:val="007E0450"/>
    <w:rsid w:val="007F2229"/>
    <w:rsid w:val="00800B64"/>
    <w:rsid w:val="0080624F"/>
    <w:rsid w:val="008315F8"/>
    <w:rsid w:val="00835660"/>
    <w:rsid w:val="00840B24"/>
    <w:rsid w:val="00844B36"/>
    <w:rsid w:val="008513AF"/>
    <w:rsid w:val="00855634"/>
    <w:rsid w:val="00860B7B"/>
    <w:rsid w:val="008637F2"/>
    <w:rsid w:val="008705CB"/>
    <w:rsid w:val="00881176"/>
    <w:rsid w:val="008829AB"/>
    <w:rsid w:val="00890A1F"/>
    <w:rsid w:val="0089702F"/>
    <w:rsid w:val="008B0B8A"/>
    <w:rsid w:val="008C336D"/>
    <w:rsid w:val="008D32AE"/>
    <w:rsid w:val="008D42B6"/>
    <w:rsid w:val="008D6C4B"/>
    <w:rsid w:val="008E7D9B"/>
    <w:rsid w:val="00904F05"/>
    <w:rsid w:val="00907A44"/>
    <w:rsid w:val="0091275F"/>
    <w:rsid w:val="00916A62"/>
    <w:rsid w:val="009174AF"/>
    <w:rsid w:val="00921E58"/>
    <w:rsid w:val="009226D8"/>
    <w:rsid w:val="00922D61"/>
    <w:rsid w:val="009279FD"/>
    <w:rsid w:val="009510CD"/>
    <w:rsid w:val="0095784F"/>
    <w:rsid w:val="00964E49"/>
    <w:rsid w:val="00970EE5"/>
    <w:rsid w:val="00971F0E"/>
    <w:rsid w:val="0097201A"/>
    <w:rsid w:val="0097544D"/>
    <w:rsid w:val="0099724C"/>
    <w:rsid w:val="009A2A78"/>
    <w:rsid w:val="009B24DB"/>
    <w:rsid w:val="009B2B73"/>
    <w:rsid w:val="009B5790"/>
    <w:rsid w:val="009C0017"/>
    <w:rsid w:val="009C2A6A"/>
    <w:rsid w:val="009D36B5"/>
    <w:rsid w:val="009D504D"/>
    <w:rsid w:val="009E5ABD"/>
    <w:rsid w:val="009F0F34"/>
    <w:rsid w:val="009F102E"/>
    <w:rsid w:val="00A0145C"/>
    <w:rsid w:val="00A01CA9"/>
    <w:rsid w:val="00A0275F"/>
    <w:rsid w:val="00A0323F"/>
    <w:rsid w:val="00A12B46"/>
    <w:rsid w:val="00A1340D"/>
    <w:rsid w:val="00A2153A"/>
    <w:rsid w:val="00A2194C"/>
    <w:rsid w:val="00A255A5"/>
    <w:rsid w:val="00A2684B"/>
    <w:rsid w:val="00A27BAE"/>
    <w:rsid w:val="00A35F9B"/>
    <w:rsid w:val="00A365F1"/>
    <w:rsid w:val="00A40259"/>
    <w:rsid w:val="00A41D37"/>
    <w:rsid w:val="00A43116"/>
    <w:rsid w:val="00A436EF"/>
    <w:rsid w:val="00A52209"/>
    <w:rsid w:val="00A62FA5"/>
    <w:rsid w:val="00A6312E"/>
    <w:rsid w:val="00A7485C"/>
    <w:rsid w:val="00A77AA1"/>
    <w:rsid w:val="00A86C30"/>
    <w:rsid w:val="00A86D12"/>
    <w:rsid w:val="00A928D2"/>
    <w:rsid w:val="00A93EFE"/>
    <w:rsid w:val="00A958C8"/>
    <w:rsid w:val="00AA5510"/>
    <w:rsid w:val="00AA649A"/>
    <w:rsid w:val="00AA7EC8"/>
    <w:rsid w:val="00AB0BE0"/>
    <w:rsid w:val="00AB1FBA"/>
    <w:rsid w:val="00AB2372"/>
    <w:rsid w:val="00AB5714"/>
    <w:rsid w:val="00AC2734"/>
    <w:rsid w:val="00AC5D5B"/>
    <w:rsid w:val="00AC60A3"/>
    <w:rsid w:val="00AD4622"/>
    <w:rsid w:val="00AD5BF8"/>
    <w:rsid w:val="00AD78E6"/>
    <w:rsid w:val="00AE3E55"/>
    <w:rsid w:val="00AF1519"/>
    <w:rsid w:val="00AF32F5"/>
    <w:rsid w:val="00B0160D"/>
    <w:rsid w:val="00B05550"/>
    <w:rsid w:val="00B067DE"/>
    <w:rsid w:val="00B132A1"/>
    <w:rsid w:val="00B1423E"/>
    <w:rsid w:val="00B14F28"/>
    <w:rsid w:val="00B16B95"/>
    <w:rsid w:val="00B26753"/>
    <w:rsid w:val="00B30FD9"/>
    <w:rsid w:val="00B33858"/>
    <w:rsid w:val="00B4082E"/>
    <w:rsid w:val="00B41350"/>
    <w:rsid w:val="00B41AC5"/>
    <w:rsid w:val="00B533E2"/>
    <w:rsid w:val="00B53C36"/>
    <w:rsid w:val="00B57DEE"/>
    <w:rsid w:val="00B606F6"/>
    <w:rsid w:val="00B61024"/>
    <w:rsid w:val="00B62A8D"/>
    <w:rsid w:val="00B659F8"/>
    <w:rsid w:val="00B67C05"/>
    <w:rsid w:val="00B845BC"/>
    <w:rsid w:val="00B974B0"/>
    <w:rsid w:val="00BA4997"/>
    <w:rsid w:val="00BC5E52"/>
    <w:rsid w:val="00BC788C"/>
    <w:rsid w:val="00BD38D5"/>
    <w:rsid w:val="00BD4B18"/>
    <w:rsid w:val="00BD6F42"/>
    <w:rsid w:val="00BE6E0F"/>
    <w:rsid w:val="00C02E7A"/>
    <w:rsid w:val="00C04438"/>
    <w:rsid w:val="00C07C48"/>
    <w:rsid w:val="00C11FD0"/>
    <w:rsid w:val="00C14C5B"/>
    <w:rsid w:val="00C17425"/>
    <w:rsid w:val="00C17968"/>
    <w:rsid w:val="00C17B64"/>
    <w:rsid w:val="00C2383B"/>
    <w:rsid w:val="00C339A4"/>
    <w:rsid w:val="00C37140"/>
    <w:rsid w:val="00C37DDC"/>
    <w:rsid w:val="00C4256B"/>
    <w:rsid w:val="00C42A03"/>
    <w:rsid w:val="00C475B6"/>
    <w:rsid w:val="00C61947"/>
    <w:rsid w:val="00C6613A"/>
    <w:rsid w:val="00C67105"/>
    <w:rsid w:val="00C7075A"/>
    <w:rsid w:val="00C70EDE"/>
    <w:rsid w:val="00C779FF"/>
    <w:rsid w:val="00C8367F"/>
    <w:rsid w:val="00C864C3"/>
    <w:rsid w:val="00CA2A17"/>
    <w:rsid w:val="00CA4226"/>
    <w:rsid w:val="00CA4306"/>
    <w:rsid w:val="00CB214B"/>
    <w:rsid w:val="00CC1DE2"/>
    <w:rsid w:val="00CC2E9B"/>
    <w:rsid w:val="00CC2F8D"/>
    <w:rsid w:val="00CC3936"/>
    <w:rsid w:val="00CC6961"/>
    <w:rsid w:val="00CD3A1A"/>
    <w:rsid w:val="00CD4BDA"/>
    <w:rsid w:val="00CD6B93"/>
    <w:rsid w:val="00CE41EB"/>
    <w:rsid w:val="00CE4429"/>
    <w:rsid w:val="00CE4EB2"/>
    <w:rsid w:val="00CE5055"/>
    <w:rsid w:val="00CF0428"/>
    <w:rsid w:val="00CF36B3"/>
    <w:rsid w:val="00CF6339"/>
    <w:rsid w:val="00D01884"/>
    <w:rsid w:val="00D06A99"/>
    <w:rsid w:val="00D143B9"/>
    <w:rsid w:val="00D222F2"/>
    <w:rsid w:val="00D22416"/>
    <w:rsid w:val="00D2400F"/>
    <w:rsid w:val="00D25176"/>
    <w:rsid w:val="00D26D4A"/>
    <w:rsid w:val="00D31690"/>
    <w:rsid w:val="00D330D2"/>
    <w:rsid w:val="00D33650"/>
    <w:rsid w:val="00D36354"/>
    <w:rsid w:val="00D41554"/>
    <w:rsid w:val="00D416E4"/>
    <w:rsid w:val="00D41ABA"/>
    <w:rsid w:val="00D4631A"/>
    <w:rsid w:val="00D517BC"/>
    <w:rsid w:val="00D570BA"/>
    <w:rsid w:val="00D66564"/>
    <w:rsid w:val="00D76607"/>
    <w:rsid w:val="00D7747A"/>
    <w:rsid w:val="00D841FF"/>
    <w:rsid w:val="00D85750"/>
    <w:rsid w:val="00D9048C"/>
    <w:rsid w:val="00D90B75"/>
    <w:rsid w:val="00D92C0A"/>
    <w:rsid w:val="00D944C1"/>
    <w:rsid w:val="00D97919"/>
    <w:rsid w:val="00DA783E"/>
    <w:rsid w:val="00DC0B97"/>
    <w:rsid w:val="00DC51B5"/>
    <w:rsid w:val="00DC6C75"/>
    <w:rsid w:val="00DD7819"/>
    <w:rsid w:val="00DE4AAB"/>
    <w:rsid w:val="00E027A0"/>
    <w:rsid w:val="00E05E45"/>
    <w:rsid w:val="00E06657"/>
    <w:rsid w:val="00E10B26"/>
    <w:rsid w:val="00E16F70"/>
    <w:rsid w:val="00E21E9B"/>
    <w:rsid w:val="00E24916"/>
    <w:rsid w:val="00E25394"/>
    <w:rsid w:val="00E33057"/>
    <w:rsid w:val="00E33275"/>
    <w:rsid w:val="00E4189D"/>
    <w:rsid w:val="00E438AE"/>
    <w:rsid w:val="00E52C8D"/>
    <w:rsid w:val="00E536BE"/>
    <w:rsid w:val="00E555A0"/>
    <w:rsid w:val="00E56AF7"/>
    <w:rsid w:val="00E56D58"/>
    <w:rsid w:val="00E60899"/>
    <w:rsid w:val="00E6280D"/>
    <w:rsid w:val="00E62DBC"/>
    <w:rsid w:val="00E70D5B"/>
    <w:rsid w:val="00E71631"/>
    <w:rsid w:val="00E71E51"/>
    <w:rsid w:val="00E73CFE"/>
    <w:rsid w:val="00E80718"/>
    <w:rsid w:val="00E91C27"/>
    <w:rsid w:val="00E945AC"/>
    <w:rsid w:val="00EB0212"/>
    <w:rsid w:val="00EB3D35"/>
    <w:rsid w:val="00EC01D2"/>
    <w:rsid w:val="00EC7C9D"/>
    <w:rsid w:val="00ED43A9"/>
    <w:rsid w:val="00ED6F3E"/>
    <w:rsid w:val="00EE6D3C"/>
    <w:rsid w:val="00EF0C1F"/>
    <w:rsid w:val="00EF5402"/>
    <w:rsid w:val="00EF5F1A"/>
    <w:rsid w:val="00F1268F"/>
    <w:rsid w:val="00F13621"/>
    <w:rsid w:val="00F136AB"/>
    <w:rsid w:val="00F21FA9"/>
    <w:rsid w:val="00F24F84"/>
    <w:rsid w:val="00F278A7"/>
    <w:rsid w:val="00F31687"/>
    <w:rsid w:val="00F35997"/>
    <w:rsid w:val="00F40EA6"/>
    <w:rsid w:val="00F42C14"/>
    <w:rsid w:val="00F57CEB"/>
    <w:rsid w:val="00F60B0A"/>
    <w:rsid w:val="00F700BD"/>
    <w:rsid w:val="00F72AC8"/>
    <w:rsid w:val="00F77018"/>
    <w:rsid w:val="00F87DE9"/>
    <w:rsid w:val="00F91CB5"/>
    <w:rsid w:val="00F94DAA"/>
    <w:rsid w:val="00F95ADD"/>
    <w:rsid w:val="00F96E65"/>
    <w:rsid w:val="00FB1AE3"/>
    <w:rsid w:val="00FB3317"/>
    <w:rsid w:val="00FB3D0A"/>
    <w:rsid w:val="00FB5925"/>
    <w:rsid w:val="00FC3558"/>
    <w:rsid w:val="00FC4FB3"/>
    <w:rsid w:val="00FC69B8"/>
    <w:rsid w:val="00FC7E9C"/>
    <w:rsid w:val="00FE3D00"/>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43B9"/>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 w:type="character" w:styleId="UnresolvedMention">
    <w:name w:val="Unresolved Mention"/>
    <w:basedOn w:val="DefaultParagraphFont"/>
    <w:uiPriority w:val="99"/>
    <w:semiHidden/>
    <w:unhideWhenUsed/>
    <w:rsid w:val="002A7C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730</Words>
  <Characters>4165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4886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3</cp:revision>
  <cp:lastPrinted>2019-10-24T15:39:00Z</cp:lastPrinted>
  <dcterms:created xsi:type="dcterms:W3CDTF">2025-07-11T17:24:00Z</dcterms:created>
  <dcterms:modified xsi:type="dcterms:W3CDTF">2025-07-11T17:24:00Z</dcterms:modified>
</cp:coreProperties>
</file>