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7EE5F" w14:textId="77777777" w:rsidR="007E2CD0" w:rsidRPr="00947C79" w:rsidRDefault="007E2CD0" w:rsidP="007E2CD0">
      <w:pPr>
        <w:widowControl/>
        <w:suppressAutoHyphens/>
        <w:rPr>
          <w:sz w:val="18"/>
        </w:rPr>
      </w:pPr>
      <w:r w:rsidRPr="00947C79">
        <w:rPr>
          <w:b/>
          <w:bCs/>
          <w:sz w:val="18"/>
        </w:rPr>
        <w:t>R547.  Health and Human Services, Juvenile Justice and Youth Services.</w:t>
      </w:r>
    </w:p>
    <w:p w14:paraId="54506802" w14:textId="5ACF67DC" w:rsidR="007E2CD0" w:rsidRPr="00947C79" w:rsidRDefault="007E2CD0" w:rsidP="007E2CD0">
      <w:pPr>
        <w:widowControl/>
        <w:suppressAutoHyphens/>
        <w:rPr>
          <w:sz w:val="18"/>
        </w:rPr>
      </w:pPr>
      <w:r w:rsidRPr="00947C79">
        <w:rPr>
          <w:b/>
          <w:bCs/>
          <w:sz w:val="18"/>
        </w:rPr>
        <w:t>R547-11.  Transfer of a Minor Provisionally Housed in Secure Care to the Department of Corrections.</w:t>
      </w:r>
    </w:p>
    <w:p w14:paraId="2BB30917" w14:textId="61D0411B" w:rsidR="007E2CD0" w:rsidRPr="00947C79" w:rsidRDefault="007E2CD0" w:rsidP="007E2CD0">
      <w:pPr>
        <w:widowControl/>
        <w:suppressAutoHyphens/>
        <w:rPr>
          <w:sz w:val="18"/>
        </w:rPr>
      </w:pPr>
      <w:r w:rsidRPr="00947C79">
        <w:rPr>
          <w:b/>
          <w:bCs/>
          <w:sz w:val="18"/>
        </w:rPr>
        <w:t>R547-11-1.  Authority and Purpose.</w:t>
      </w:r>
    </w:p>
    <w:p w14:paraId="0E709492" w14:textId="66B9EF2B" w:rsidR="007E2CD0" w:rsidRPr="00947C79" w:rsidRDefault="007E2CD0" w:rsidP="007E2CD0">
      <w:pPr>
        <w:widowControl/>
        <w:suppressAutoHyphens/>
        <w:rPr>
          <w:sz w:val="18"/>
        </w:rPr>
      </w:pPr>
      <w:r w:rsidRPr="00947C79">
        <w:rPr>
          <w:sz w:val="18"/>
        </w:rPr>
        <w:tab/>
        <w:t>(1)  Section 26B-1-202 authorizes the Department of Health and Human Services to adopt administrative rules. Section 80-6-507 directs the Division of Juvenile Justice and Youth Services to adopt procedures by administrative rule for the transfer of a minor provisionally housed in a secure care facility to the physical custody of the Department of Corrections.</w:t>
      </w:r>
    </w:p>
    <w:p w14:paraId="10005705" w14:textId="77777777" w:rsidR="007E2CD0" w:rsidRPr="00947C79" w:rsidRDefault="007E2CD0" w:rsidP="007E2CD0">
      <w:pPr>
        <w:widowControl/>
        <w:suppressAutoHyphens/>
        <w:rPr>
          <w:sz w:val="18"/>
        </w:rPr>
      </w:pPr>
      <w:r w:rsidRPr="00947C79">
        <w:rPr>
          <w:sz w:val="18"/>
        </w:rPr>
        <w:tab/>
        <w:t>(2)  This rule provides oversight on the transfer of a minor provisionally housed in a division facility to a Department of Corrections facility. Transfer of physical custody to the Department of Corrections shall occur:</w:t>
      </w:r>
    </w:p>
    <w:p w14:paraId="78171435" w14:textId="77777777" w:rsidR="007E2CD0" w:rsidRPr="00947C79" w:rsidRDefault="007E2CD0" w:rsidP="007E2CD0">
      <w:pPr>
        <w:widowControl/>
        <w:suppressAutoHyphens/>
        <w:rPr>
          <w:sz w:val="18"/>
        </w:rPr>
      </w:pPr>
      <w:r w:rsidRPr="00947C79">
        <w:rPr>
          <w:sz w:val="18"/>
        </w:rPr>
        <w:tab/>
        <w:t>(a)  when the minor reaches 25 years of age while in a division facility;</w:t>
      </w:r>
    </w:p>
    <w:p w14:paraId="286F3AB4" w14:textId="77777777" w:rsidR="007E2CD0" w:rsidRPr="00947C79" w:rsidRDefault="007E2CD0" w:rsidP="007E2CD0">
      <w:pPr>
        <w:widowControl/>
        <w:suppressAutoHyphens/>
        <w:rPr>
          <w:sz w:val="18"/>
        </w:rPr>
      </w:pPr>
      <w:r w:rsidRPr="00947C79">
        <w:rPr>
          <w:sz w:val="18"/>
        </w:rPr>
        <w:tab/>
        <w:t>(b)  prior to the minor reaching 25 years of age, if the division determines that housing the minor in a secure care facility presents unreasonable risk to others; or</w:t>
      </w:r>
    </w:p>
    <w:p w14:paraId="16083A41" w14:textId="06192A74" w:rsidR="007E2CD0" w:rsidRPr="00947C79" w:rsidRDefault="007E2CD0" w:rsidP="007E2CD0">
      <w:pPr>
        <w:widowControl/>
        <w:suppressAutoHyphens/>
        <w:rPr>
          <w:sz w:val="18"/>
        </w:rPr>
      </w:pPr>
      <w:r w:rsidRPr="00947C79">
        <w:rPr>
          <w:sz w:val="18"/>
        </w:rPr>
        <w:tab/>
        <w:t>(c)  when being housed in a secure care facility is not in the best interest of the minor.</w:t>
      </w:r>
    </w:p>
    <w:p w14:paraId="54AF9825" w14:textId="77777777" w:rsidR="007E2CD0" w:rsidRPr="00947C79" w:rsidRDefault="007E2CD0" w:rsidP="007E2CD0">
      <w:pPr>
        <w:widowControl/>
        <w:suppressAutoHyphens/>
        <w:rPr>
          <w:sz w:val="18"/>
        </w:rPr>
      </w:pPr>
    </w:p>
    <w:p w14:paraId="6F6C96AF" w14:textId="77777777" w:rsidR="007E2CD0" w:rsidRPr="00947C79" w:rsidRDefault="007E2CD0" w:rsidP="007E2CD0">
      <w:pPr>
        <w:widowControl/>
        <w:suppressAutoHyphens/>
        <w:rPr>
          <w:sz w:val="18"/>
        </w:rPr>
      </w:pPr>
      <w:r w:rsidRPr="00947C79">
        <w:rPr>
          <w:b/>
          <w:bCs/>
          <w:sz w:val="18"/>
        </w:rPr>
        <w:t>R547-11-2.  Definitions.</w:t>
      </w:r>
    </w:p>
    <w:p w14:paraId="33DDB036" w14:textId="77777777" w:rsidR="007E2CD0" w:rsidRPr="00947C79" w:rsidRDefault="007E2CD0" w:rsidP="007E2CD0">
      <w:pPr>
        <w:widowControl/>
        <w:suppressAutoHyphens/>
        <w:rPr>
          <w:sz w:val="18"/>
        </w:rPr>
      </w:pPr>
      <w:r w:rsidRPr="00947C79">
        <w:rPr>
          <w:sz w:val="18"/>
        </w:rPr>
        <w:tab/>
        <w:t>(1)  "Division" means the Division of Juvenile Justice and Youth Services.</w:t>
      </w:r>
    </w:p>
    <w:p w14:paraId="3E4EBBE8" w14:textId="1F16C408" w:rsidR="007E2CD0" w:rsidRPr="00947C79" w:rsidRDefault="007E2CD0" w:rsidP="007E2CD0">
      <w:pPr>
        <w:widowControl/>
        <w:suppressAutoHyphens/>
        <w:rPr>
          <w:sz w:val="18"/>
        </w:rPr>
      </w:pPr>
      <w:r w:rsidRPr="00947C79">
        <w:rPr>
          <w:sz w:val="18"/>
        </w:rPr>
        <w:tab/>
        <w:t>(2)  "Minor" means the same as defined in Section 80-6-501.</w:t>
      </w:r>
    </w:p>
    <w:p w14:paraId="6D8B79C9" w14:textId="476B2459" w:rsidR="007E2CD0" w:rsidRPr="00947C79" w:rsidRDefault="007E2CD0" w:rsidP="007E2CD0">
      <w:pPr>
        <w:widowControl/>
        <w:suppressAutoHyphens/>
        <w:rPr>
          <w:sz w:val="18"/>
        </w:rPr>
      </w:pPr>
      <w:r w:rsidRPr="00947C79">
        <w:rPr>
          <w:sz w:val="18"/>
        </w:rPr>
        <w:tab/>
        <w:t>(3)  "Secure care" means the same as defined in Subsection 80-1-102(72).</w:t>
      </w:r>
    </w:p>
    <w:p w14:paraId="1ACC114D" w14:textId="77777777" w:rsidR="007E2CD0" w:rsidRPr="00947C79" w:rsidRDefault="007E2CD0" w:rsidP="007E2CD0">
      <w:pPr>
        <w:widowControl/>
        <w:suppressAutoHyphens/>
        <w:rPr>
          <w:sz w:val="18"/>
        </w:rPr>
      </w:pPr>
    </w:p>
    <w:p w14:paraId="21C0856D" w14:textId="77777777" w:rsidR="007E2CD0" w:rsidRPr="00947C79" w:rsidRDefault="007E2CD0" w:rsidP="007E2CD0">
      <w:pPr>
        <w:widowControl/>
        <w:suppressAutoHyphens/>
        <w:rPr>
          <w:sz w:val="18"/>
        </w:rPr>
      </w:pPr>
      <w:r w:rsidRPr="00947C79">
        <w:rPr>
          <w:b/>
          <w:bCs/>
          <w:sz w:val="18"/>
        </w:rPr>
        <w:t>R547-11-3.  General Rules.</w:t>
      </w:r>
    </w:p>
    <w:p w14:paraId="71CB60E4" w14:textId="0ED0EEE4" w:rsidR="007E2CD0" w:rsidRPr="00947C79" w:rsidRDefault="007E2CD0" w:rsidP="007E2CD0">
      <w:pPr>
        <w:widowControl/>
        <w:suppressAutoHyphens/>
        <w:rPr>
          <w:sz w:val="18"/>
        </w:rPr>
      </w:pPr>
      <w:r w:rsidRPr="00947C79">
        <w:rPr>
          <w:sz w:val="18"/>
        </w:rPr>
        <w:tab/>
        <w:t>(1)(a)  The division shall transfer physical custody of a minor who has been provisionally housed in secure care when the minor reaches 25 years of age, unless the minor was released earlier from incarceration by the Board of Pardons and Parole.</w:t>
      </w:r>
    </w:p>
    <w:p w14:paraId="2250F0CF" w14:textId="29AF83FB" w:rsidR="007E2CD0" w:rsidRPr="00947C79" w:rsidRDefault="007E2CD0" w:rsidP="007E2CD0">
      <w:pPr>
        <w:widowControl/>
        <w:suppressAutoHyphens/>
        <w:rPr>
          <w:sz w:val="18"/>
        </w:rPr>
      </w:pPr>
      <w:r w:rsidRPr="00947C79">
        <w:rPr>
          <w:sz w:val="18"/>
        </w:rPr>
        <w:tab/>
        <w:t>(b)  The division shall complete the transfer as soon as reasonably possible, but no later than six months after the minor reaches 25 years of age.</w:t>
      </w:r>
    </w:p>
    <w:p w14:paraId="3B51384B" w14:textId="1EF3CE4E" w:rsidR="007E2CD0" w:rsidRPr="00947C79" w:rsidRDefault="007E2CD0" w:rsidP="007E2CD0">
      <w:pPr>
        <w:widowControl/>
        <w:suppressAutoHyphens/>
        <w:rPr>
          <w:sz w:val="18"/>
        </w:rPr>
      </w:pPr>
      <w:r w:rsidRPr="00947C79">
        <w:rPr>
          <w:sz w:val="18"/>
        </w:rPr>
        <w:tab/>
        <w:t>(2)(a)  The division may transfer physical custody of a minor to the Department of Corrections before the minor reaches 25 years of age if the division determines that continuing to house the minor in a division facility:</w:t>
      </w:r>
    </w:p>
    <w:p w14:paraId="35E975AE" w14:textId="77777777" w:rsidR="007E2CD0" w:rsidRPr="00947C79" w:rsidRDefault="007E2CD0" w:rsidP="007E2CD0">
      <w:pPr>
        <w:widowControl/>
        <w:suppressAutoHyphens/>
        <w:rPr>
          <w:sz w:val="18"/>
        </w:rPr>
      </w:pPr>
      <w:r w:rsidRPr="00947C79">
        <w:rPr>
          <w:sz w:val="18"/>
        </w:rPr>
        <w:tab/>
        <w:t>(i)  presents an unreasonable risk to others in the facility; or</w:t>
      </w:r>
    </w:p>
    <w:p w14:paraId="58546548" w14:textId="0A3E5BAF" w:rsidR="007E2CD0" w:rsidRPr="00947C79" w:rsidRDefault="007E2CD0" w:rsidP="007E2CD0">
      <w:pPr>
        <w:widowControl/>
        <w:suppressAutoHyphens/>
        <w:rPr>
          <w:sz w:val="18"/>
        </w:rPr>
      </w:pPr>
      <w:r w:rsidRPr="00947C79">
        <w:rPr>
          <w:sz w:val="18"/>
        </w:rPr>
        <w:tab/>
        <w:t>(ii) is not in the best interest of the minor.</w:t>
      </w:r>
    </w:p>
    <w:p w14:paraId="38BE6987" w14:textId="77777777" w:rsidR="007E2CD0" w:rsidRPr="00947C79" w:rsidRDefault="007E2CD0" w:rsidP="007E2CD0">
      <w:pPr>
        <w:widowControl/>
        <w:suppressAutoHyphens/>
        <w:rPr>
          <w:sz w:val="18"/>
        </w:rPr>
      </w:pPr>
      <w:r w:rsidRPr="00947C79">
        <w:rPr>
          <w:sz w:val="18"/>
        </w:rPr>
        <w:tab/>
        <w:t>(b)  In determining that a minor presents an unreasonable risk to others in the facility, the division may consider the minor's history of any:</w:t>
      </w:r>
    </w:p>
    <w:p w14:paraId="7BE328DF" w14:textId="5C60744C" w:rsidR="007E2CD0" w:rsidRPr="00947C79" w:rsidRDefault="007E2CD0" w:rsidP="007E2CD0">
      <w:pPr>
        <w:widowControl/>
        <w:suppressAutoHyphens/>
        <w:rPr>
          <w:sz w:val="18"/>
        </w:rPr>
      </w:pPr>
      <w:r w:rsidRPr="00947C79">
        <w:rPr>
          <w:sz w:val="18"/>
        </w:rPr>
        <w:tab/>
        <w:t>(i)  physical assault of any other resident, staff, or other person at the facility;</w:t>
      </w:r>
    </w:p>
    <w:p w14:paraId="54A3E221" w14:textId="5492F35F" w:rsidR="007E2CD0" w:rsidRPr="00947C79" w:rsidRDefault="007E2CD0" w:rsidP="007E2CD0">
      <w:pPr>
        <w:widowControl/>
        <w:suppressAutoHyphens/>
        <w:rPr>
          <w:sz w:val="18"/>
        </w:rPr>
      </w:pPr>
      <w:r w:rsidRPr="00947C79">
        <w:rPr>
          <w:sz w:val="18"/>
        </w:rPr>
        <w:tab/>
        <w:t>(ii)  planning, coercing, or leading a physical assault by another resident;</w:t>
      </w:r>
    </w:p>
    <w:p w14:paraId="2E26F437" w14:textId="248F6CCA" w:rsidR="007E2CD0" w:rsidRPr="00947C79" w:rsidRDefault="007E2CD0" w:rsidP="007E2CD0">
      <w:pPr>
        <w:widowControl/>
        <w:suppressAutoHyphens/>
        <w:rPr>
          <w:sz w:val="18"/>
        </w:rPr>
      </w:pPr>
      <w:r w:rsidRPr="00947C79">
        <w:rPr>
          <w:sz w:val="18"/>
        </w:rPr>
        <w:tab/>
        <w:t>(iii)  persistent behavior that is disruptive to rehabilitative efforts within the facility;</w:t>
      </w:r>
    </w:p>
    <w:p w14:paraId="2773AEDC" w14:textId="5E7EE820" w:rsidR="007E2CD0" w:rsidRPr="00947C79" w:rsidRDefault="007E2CD0" w:rsidP="007E2CD0">
      <w:pPr>
        <w:widowControl/>
        <w:suppressAutoHyphens/>
        <w:rPr>
          <w:sz w:val="18"/>
        </w:rPr>
      </w:pPr>
      <w:r w:rsidRPr="00947C79">
        <w:rPr>
          <w:sz w:val="18"/>
        </w:rPr>
        <w:tab/>
        <w:t>(iv)  pattern of behaviors that creates danger for another person; or</w:t>
      </w:r>
    </w:p>
    <w:p w14:paraId="1C07EF56" w14:textId="77777777" w:rsidR="007E2CD0" w:rsidRPr="00947C79" w:rsidRDefault="007E2CD0" w:rsidP="007E2CD0">
      <w:pPr>
        <w:widowControl/>
        <w:suppressAutoHyphens/>
        <w:rPr>
          <w:sz w:val="18"/>
        </w:rPr>
      </w:pPr>
      <w:r w:rsidRPr="00947C79">
        <w:rPr>
          <w:sz w:val="18"/>
        </w:rPr>
        <w:tab/>
        <w:t>(v)  other factor the division determines is relevant.</w:t>
      </w:r>
    </w:p>
    <w:p w14:paraId="77757FAB" w14:textId="459C0930" w:rsidR="007E2CD0" w:rsidRPr="00947C79" w:rsidRDefault="007E2CD0" w:rsidP="007E2CD0">
      <w:pPr>
        <w:widowControl/>
        <w:suppressAutoHyphens/>
        <w:rPr>
          <w:sz w:val="18"/>
        </w:rPr>
      </w:pPr>
      <w:r w:rsidRPr="00947C79">
        <w:rPr>
          <w:sz w:val="18"/>
        </w:rPr>
        <w:tab/>
        <w:t>(b)  In determining whether provisional housing in secure care is not in the best interest of a minor, the division may consider:</w:t>
      </w:r>
    </w:p>
    <w:p w14:paraId="71AFC39F" w14:textId="0E19500E" w:rsidR="007E2CD0" w:rsidRPr="00947C79" w:rsidRDefault="007E2CD0" w:rsidP="007E2CD0">
      <w:pPr>
        <w:widowControl/>
        <w:suppressAutoHyphens/>
        <w:rPr>
          <w:sz w:val="18"/>
        </w:rPr>
      </w:pPr>
      <w:r w:rsidRPr="00947C79">
        <w:rPr>
          <w:sz w:val="18"/>
        </w:rPr>
        <w:tab/>
        <w:t>(i)  whether the division has exhausted all treatment resources available;</w:t>
      </w:r>
    </w:p>
    <w:p w14:paraId="7EF09861" w14:textId="151EC1F3" w:rsidR="007E2CD0" w:rsidRPr="00947C79" w:rsidRDefault="007E2CD0" w:rsidP="007E2CD0">
      <w:pPr>
        <w:widowControl/>
        <w:suppressAutoHyphens/>
        <w:rPr>
          <w:sz w:val="18"/>
        </w:rPr>
      </w:pPr>
      <w:r w:rsidRPr="00947C79">
        <w:rPr>
          <w:sz w:val="18"/>
        </w:rPr>
        <w:tab/>
        <w:t>(ii)  whether the minor has failed to show progress toward reducing risk;</w:t>
      </w:r>
    </w:p>
    <w:p w14:paraId="6F12B78C" w14:textId="12CEA34D" w:rsidR="007E2CD0" w:rsidRPr="00947C79" w:rsidRDefault="007E2CD0" w:rsidP="007E2CD0">
      <w:pPr>
        <w:widowControl/>
        <w:suppressAutoHyphens/>
        <w:rPr>
          <w:sz w:val="18"/>
        </w:rPr>
      </w:pPr>
      <w:r w:rsidRPr="00947C79">
        <w:rPr>
          <w:sz w:val="18"/>
        </w:rPr>
        <w:tab/>
        <w:t>(iii)  whether the minor is no longer amenable to treatment within the facility;</w:t>
      </w:r>
    </w:p>
    <w:p w14:paraId="3C186EDE" w14:textId="005C5434" w:rsidR="007E2CD0" w:rsidRPr="00947C79" w:rsidRDefault="007E2CD0" w:rsidP="007E2CD0">
      <w:pPr>
        <w:widowControl/>
        <w:suppressAutoHyphens/>
        <w:rPr>
          <w:sz w:val="18"/>
        </w:rPr>
      </w:pPr>
      <w:r w:rsidRPr="00947C79">
        <w:rPr>
          <w:sz w:val="18"/>
        </w:rPr>
        <w:tab/>
        <w:t>(iv)  whether the minor would be better served by resources available if transferred out of the division facility;</w:t>
      </w:r>
    </w:p>
    <w:p w14:paraId="106221FA" w14:textId="77777777" w:rsidR="007E2CD0" w:rsidRPr="00947C79" w:rsidRDefault="007E2CD0" w:rsidP="007E2CD0">
      <w:pPr>
        <w:widowControl/>
        <w:suppressAutoHyphens/>
        <w:rPr>
          <w:sz w:val="18"/>
        </w:rPr>
      </w:pPr>
      <w:r w:rsidRPr="00947C79">
        <w:rPr>
          <w:sz w:val="18"/>
        </w:rPr>
        <w:tab/>
        <w:t>(v)  whether overcrowding creates safety and security concerns for a minor as determined by the division director; or</w:t>
      </w:r>
    </w:p>
    <w:p w14:paraId="1FBE39CE" w14:textId="77777777" w:rsidR="007E2CD0" w:rsidRPr="00947C79" w:rsidRDefault="007E2CD0" w:rsidP="007E2CD0">
      <w:pPr>
        <w:widowControl/>
        <w:suppressAutoHyphens/>
        <w:rPr>
          <w:sz w:val="18"/>
        </w:rPr>
      </w:pPr>
      <w:r w:rsidRPr="00947C79">
        <w:rPr>
          <w:sz w:val="18"/>
        </w:rPr>
        <w:tab/>
        <w:t>(vi)  any other factor the division determines is relevant.</w:t>
      </w:r>
    </w:p>
    <w:p w14:paraId="5FBC6056" w14:textId="1A0AAA1A" w:rsidR="007E2CD0" w:rsidRPr="00947C79" w:rsidRDefault="007E2CD0" w:rsidP="007E2CD0">
      <w:pPr>
        <w:widowControl/>
        <w:suppressAutoHyphens/>
        <w:rPr>
          <w:sz w:val="18"/>
        </w:rPr>
      </w:pPr>
      <w:r w:rsidRPr="00947C79">
        <w:rPr>
          <w:sz w:val="18"/>
        </w:rPr>
        <w:tab/>
        <w:t>(3)  The division director shall have final decision-making authority pursuant to this rule.</w:t>
      </w:r>
    </w:p>
    <w:p w14:paraId="58C8AE8A" w14:textId="77777777" w:rsidR="007E2CD0" w:rsidRPr="00947C79" w:rsidRDefault="007E2CD0" w:rsidP="007E2CD0">
      <w:pPr>
        <w:widowControl/>
        <w:suppressAutoHyphens/>
        <w:rPr>
          <w:sz w:val="18"/>
        </w:rPr>
      </w:pPr>
    </w:p>
    <w:p w14:paraId="25DCC22B" w14:textId="77777777" w:rsidR="007E2CD0" w:rsidRPr="00947C79" w:rsidRDefault="007E2CD0" w:rsidP="007E2CD0">
      <w:pPr>
        <w:widowControl/>
        <w:suppressAutoHyphens/>
        <w:rPr>
          <w:sz w:val="18"/>
        </w:rPr>
      </w:pPr>
      <w:r w:rsidRPr="00947C79">
        <w:rPr>
          <w:b/>
          <w:bCs/>
          <w:sz w:val="18"/>
        </w:rPr>
        <w:t>KEY:  juveniles, juvenile corrections, juvenile transportation, minors</w:t>
      </w:r>
    </w:p>
    <w:p w14:paraId="2111C3E4" w14:textId="262C6410" w:rsidR="007E2CD0" w:rsidRPr="00947C79" w:rsidRDefault="007E2CD0" w:rsidP="007E2CD0">
      <w:pPr>
        <w:widowControl/>
        <w:suppressAutoHyphens/>
        <w:rPr>
          <w:bCs/>
          <w:sz w:val="18"/>
        </w:rPr>
      </w:pPr>
      <w:r w:rsidRPr="00947C79">
        <w:rPr>
          <w:b/>
          <w:bCs/>
          <w:sz w:val="18"/>
        </w:rPr>
        <w:t xml:space="preserve">Date of Last Change:  </w:t>
      </w:r>
      <w:r w:rsidR="000A0E50" w:rsidRPr="00947C79">
        <w:rPr>
          <w:b/>
          <w:bCs/>
          <w:sz w:val="18"/>
        </w:rPr>
        <w:t xml:space="preserve">July 1, </w:t>
      </w:r>
      <w:r w:rsidRPr="00947C79">
        <w:rPr>
          <w:b/>
          <w:bCs/>
          <w:sz w:val="18"/>
        </w:rPr>
        <w:t>2025</w:t>
      </w:r>
    </w:p>
    <w:p w14:paraId="4194B441" w14:textId="77777777" w:rsidR="007E2CD0" w:rsidRPr="00947C79" w:rsidRDefault="007E2CD0" w:rsidP="007E2CD0">
      <w:pPr>
        <w:widowControl/>
        <w:suppressAutoHyphens/>
        <w:rPr>
          <w:sz w:val="18"/>
        </w:rPr>
      </w:pPr>
      <w:r w:rsidRPr="00947C79">
        <w:rPr>
          <w:b/>
          <w:bCs/>
          <w:sz w:val="18"/>
        </w:rPr>
        <w:t>Notice of Continuation:  November 19, 2020</w:t>
      </w:r>
    </w:p>
    <w:p w14:paraId="00D404D3" w14:textId="77777777" w:rsidR="007E2CD0" w:rsidRPr="00947C79" w:rsidRDefault="007E2CD0" w:rsidP="007E2CD0">
      <w:pPr>
        <w:widowControl/>
        <w:suppressAutoHyphens/>
        <w:rPr>
          <w:sz w:val="18"/>
        </w:rPr>
      </w:pPr>
      <w:r w:rsidRPr="00947C79">
        <w:rPr>
          <w:b/>
          <w:bCs/>
          <w:sz w:val="18"/>
        </w:rPr>
        <w:t>Authorizing, and Implemented or Interpreted Law:  62A-1-111; 63G-3; 80-6-507</w:t>
      </w:r>
    </w:p>
    <w:p w14:paraId="60C9B2A5" w14:textId="77777777" w:rsidR="007E2CD0" w:rsidRPr="00947C79" w:rsidRDefault="007E2CD0" w:rsidP="007E2CD0">
      <w:pPr>
        <w:widowControl/>
        <w:suppressAutoHyphens/>
        <w:rPr>
          <w:sz w:val="18"/>
        </w:rPr>
      </w:pPr>
    </w:p>
    <w:p w14:paraId="31931376" w14:textId="1A8538CD" w:rsidR="00EA3E2F" w:rsidRPr="00947C79" w:rsidRDefault="00EA3E2F" w:rsidP="007E2CD0">
      <w:pPr>
        <w:widowControl/>
        <w:suppressAutoHyphens/>
        <w:rPr>
          <w:sz w:val="18"/>
        </w:rPr>
      </w:pPr>
    </w:p>
    <w:sectPr w:rsidR="00EA3E2F" w:rsidRPr="00947C79" w:rsidSect="00947C7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C9189" w14:textId="77777777" w:rsidR="001E56E7" w:rsidRDefault="001E56E7" w:rsidP="00C17968">
      <w:r>
        <w:separator/>
      </w:r>
    </w:p>
  </w:endnote>
  <w:endnote w:type="continuationSeparator" w:id="0">
    <w:p w14:paraId="312F9F4F" w14:textId="77777777" w:rsidR="001E56E7" w:rsidRDefault="001E56E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2F2E8" w14:textId="77777777" w:rsidR="001E56E7" w:rsidRDefault="001E56E7" w:rsidP="00C17968">
      <w:r>
        <w:separator/>
      </w:r>
    </w:p>
  </w:footnote>
  <w:footnote w:type="continuationSeparator" w:id="0">
    <w:p w14:paraId="0550CD2E" w14:textId="77777777" w:rsidR="001E56E7" w:rsidRDefault="001E56E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5383"/>
    <w:rsid w:val="000502D9"/>
    <w:rsid w:val="00050AB6"/>
    <w:rsid w:val="0005628D"/>
    <w:rsid w:val="0006266E"/>
    <w:rsid w:val="00083289"/>
    <w:rsid w:val="00086A4C"/>
    <w:rsid w:val="00092D64"/>
    <w:rsid w:val="000A0E50"/>
    <w:rsid w:val="000A63C1"/>
    <w:rsid w:val="000B0C8F"/>
    <w:rsid w:val="000C3C78"/>
    <w:rsid w:val="000E7CDD"/>
    <w:rsid w:val="00101058"/>
    <w:rsid w:val="00101351"/>
    <w:rsid w:val="00101FCF"/>
    <w:rsid w:val="00102BB0"/>
    <w:rsid w:val="001231CA"/>
    <w:rsid w:val="00136C69"/>
    <w:rsid w:val="00136E6B"/>
    <w:rsid w:val="00140B4F"/>
    <w:rsid w:val="00151B36"/>
    <w:rsid w:val="001769DF"/>
    <w:rsid w:val="0018100B"/>
    <w:rsid w:val="00182F7F"/>
    <w:rsid w:val="001A1B9C"/>
    <w:rsid w:val="001A28F8"/>
    <w:rsid w:val="001B06C0"/>
    <w:rsid w:val="001B1B40"/>
    <w:rsid w:val="001C3DAB"/>
    <w:rsid w:val="001C6108"/>
    <w:rsid w:val="001E1238"/>
    <w:rsid w:val="001E56E7"/>
    <w:rsid w:val="001F78BA"/>
    <w:rsid w:val="00205CCE"/>
    <w:rsid w:val="00210E2C"/>
    <w:rsid w:val="00211CFB"/>
    <w:rsid w:val="00214BA0"/>
    <w:rsid w:val="00225003"/>
    <w:rsid w:val="00250B69"/>
    <w:rsid w:val="00253C3B"/>
    <w:rsid w:val="00256032"/>
    <w:rsid w:val="002639EB"/>
    <w:rsid w:val="00266359"/>
    <w:rsid w:val="00272D20"/>
    <w:rsid w:val="00276EA3"/>
    <w:rsid w:val="00282CAA"/>
    <w:rsid w:val="00291DCA"/>
    <w:rsid w:val="00296B2B"/>
    <w:rsid w:val="00297523"/>
    <w:rsid w:val="002B721A"/>
    <w:rsid w:val="002C31EE"/>
    <w:rsid w:val="002D4474"/>
    <w:rsid w:val="002E07C8"/>
    <w:rsid w:val="002E6F38"/>
    <w:rsid w:val="002F4252"/>
    <w:rsid w:val="002F45BF"/>
    <w:rsid w:val="00301209"/>
    <w:rsid w:val="003068A1"/>
    <w:rsid w:val="003121D3"/>
    <w:rsid w:val="00316A41"/>
    <w:rsid w:val="003217E6"/>
    <w:rsid w:val="00335956"/>
    <w:rsid w:val="0033622C"/>
    <w:rsid w:val="00342459"/>
    <w:rsid w:val="00360B41"/>
    <w:rsid w:val="00373FE5"/>
    <w:rsid w:val="00375DAB"/>
    <w:rsid w:val="00380D52"/>
    <w:rsid w:val="0038539D"/>
    <w:rsid w:val="003A417A"/>
    <w:rsid w:val="003B422D"/>
    <w:rsid w:val="003B6116"/>
    <w:rsid w:val="003D601B"/>
    <w:rsid w:val="003E0630"/>
    <w:rsid w:val="003E6785"/>
    <w:rsid w:val="003F64A7"/>
    <w:rsid w:val="003F6A4F"/>
    <w:rsid w:val="00402912"/>
    <w:rsid w:val="00403755"/>
    <w:rsid w:val="00414E0D"/>
    <w:rsid w:val="00430473"/>
    <w:rsid w:val="004312FE"/>
    <w:rsid w:val="004423A3"/>
    <w:rsid w:val="00446ABC"/>
    <w:rsid w:val="00457B35"/>
    <w:rsid w:val="00462360"/>
    <w:rsid w:val="00465A08"/>
    <w:rsid w:val="00467992"/>
    <w:rsid w:val="004803F6"/>
    <w:rsid w:val="004912A7"/>
    <w:rsid w:val="00497059"/>
    <w:rsid w:val="004A031A"/>
    <w:rsid w:val="004A5E2F"/>
    <w:rsid w:val="004B7F3B"/>
    <w:rsid w:val="004C20EA"/>
    <w:rsid w:val="004C4015"/>
    <w:rsid w:val="004D04B7"/>
    <w:rsid w:val="004D2E39"/>
    <w:rsid w:val="004D328F"/>
    <w:rsid w:val="00516E14"/>
    <w:rsid w:val="005277FC"/>
    <w:rsid w:val="00550F3B"/>
    <w:rsid w:val="00551480"/>
    <w:rsid w:val="005556D4"/>
    <w:rsid w:val="00563DBC"/>
    <w:rsid w:val="005664F4"/>
    <w:rsid w:val="0057263E"/>
    <w:rsid w:val="005732E8"/>
    <w:rsid w:val="00574132"/>
    <w:rsid w:val="0057478F"/>
    <w:rsid w:val="00583378"/>
    <w:rsid w:val="00585352"/>
    <w:rsid w:val="005879FB"/>
    <w:rsid w:val="00590D6C"/>
    <w:rsid w:val="00594E8B"/>
    <w:rsid w:val="005960C4"/>
    <w:rsid w:val="005A463F"/>
    <w:rsid w:val="005A58C6"/>
    <w:rsid w:val="005A6E0E"/>
    <w:rsid w:val="005A7398"/>
    <w:rsid w:val="005B4EE0"/>
    <w:rsid w:val="005C024A"/>
    <w:rsid w:val="005D674B"/>
    <w:rsid w:val="005D6A7E"/>
    <w:rsid w:val="005E4C74"/>
    <w:rsid w:val="005F7305"/>
    <w:rsid w:val="00617D1E"/>
    <w:rsid w:val="006256E9"/>
    <w:rsid w:val="00631C68"/>
    <w:rsid w:val="006431BE"/>
    <w:rsid w:val="00646433"/>
    <w:rsid w:val="00646E1C"/>
    <w:rsid w:val="006604BD"/>
    <w:rsid w:val="006661C3"/>
    <w:rsid w:val="006667C3"/>
    <w:rsid w:val="00682427"/>
    <w:rsid w:val="00682C98"/>
    <w:rsid w:val="006851B3"/>
    <w:rsid w:val="0069040D"/>
    <w:rsid w:val="006936DF"/>
    <w:rsid w:val="006A3F24"/>
    <w:rsid w:val="006A7D14"/>
    <w:rsid w:val="006B70AF"/>
    <w:rsid w:val="006D167F"/>
    <w:rsid w:val="006E34C1"/>
    <w:rsid w:val="007047A1"/>
    <w:rsid w:val="00713104"/>
    <w:rsid w:val="00715301"/>
    <w:rsid w:val="00716F7B"/>
    <w:rsid w:val="007231FC"/>
    <w:rsid w:val="00723BDF"/>
    <w:rsid w:val="00725F95"/>
    <w:rsid w:val="00734F0C"/>
    <w:rsid w:val="00736DC2"/>
    <w:rsid w:val="00753C35"/>
    <w:rsid w:val="007613E9"/>
    <w:rsid w:val="00762BDA"/>
    <w:rsid w:val="007662A3"/>
    <w:rsid w:val="00766E28"/>
    <w:rsid w:val="00772653"/>
    <w:rsid w:val="00796BA5"/>
    <w:rsid w:val="007A1FEA"/>
    <w:rsid w:val="007A6298"/>
    <w:rsid w:val="007A6D80"/>
    <w:rsid w:val="007B6323"/>
    <w:rsid w:val="007B6C82"/>
    <w:rsid w:val="007D0B87"/>
    <w:rsid w:val="007D1F9D"/>
    <w:rsid w:val="007E2CD0"/>
    <w:rsid w:val="007E6F89"/>
    <w:rsid w:val="007E7863"/>
    <w:rsid w:val="00810C79"/>
    <w:rsid w:val="008315F8"/>
    <w:rsid w:val="00835660"/>
    <w:rsid w:val="00840B24"/>
    <w:rsid w:val="00844B36"/>
    <w:rsid w:val="008517D7"/>
    <w:rsid w:val="008637F2"/>
    <w:rsid w:val="008705CB"/>
    <w:rsid w:val="008829AB"/>
    <w:rsid w:val="00890A1F"/>
    <w:rsid w:val="008A2DF3"/>
    <w:rsid w:val="008B0B8A"/>
    <w:rsid w:val="008C753A"/>
    <w:rsid w:val="008D6C4B"/>
    <w:rsid w:val="008E49DA"/>
    <w:rsid w:val="008E7D9B"/>
    <w:rsid w:val="009174AF"/>
    <w:rsid w:val="009226D8"/>
    <w:rsid w:val="00922D61"/>
    <w:rsid w:val="009279FD"/>
    <w:rsid w:val="00947C79"/>
    <w:rsid w:val="009510CD"/>
    <w:rsid w:val="00954493"/>
    <w:rsid w:val="00964E49"/>
    <w:rsid w:val="00990E95"/>
    <w:rsid w:val="0099724C"/>
    <w:rsid w:val="009A2A78"/>
    <w:rsid w:val="009B5790"/>
    <w:rsid w:val="009B62BA"/>
    <w:rsid w:val="009C0017"/>
    <w:rsid w:val="009C2A6A"/>
    <w:rsid w:val="009E5ABD"/>
    <w:rsid w:val="009F5BF4"/>
    <w:rsid w:val="00A0145C"/>
    <w:rsid w:val="00A035D6"/>
    <w:rsid w:val="00A2194C"/>
    <w:rsid w:val="00A2684B"/>
    <w:rsid w:val="00A41D37"/>
    <w:rsid w:val="00A52209"/>
    <w:rsid w:val="00A6312E"/>
    <w:rsid w:val="00A772BA"/>
    <w:rsid w:val="00A816E4"/>
    <w:rsid w:val="00A93EFE"/>
    <w:rsid w:val="00AA649A"/>
    <w:rsid w:val="00AB0BE0"/>
    <w:rsid w:val="00AB5714"/>
    <w:rsid w:val="00AC2734"/>
    <w:rsid w:val="00AC60A3"/>
    <w:rsid w:val="00AD1337"/>
    <w:rsid w:val="00AD27A8"/>
    <w:rsid w:val="00AD5BF8"/>
    <w:rsid w:val="00AE2485"/>
    <w:rsid w:val="00AF1519"/>
    <w:rsid w:val="00AF4DA7"/>
    <w:rsid w:val="00B0160D"/>
    <w:rsid w:val="00B05550"/>
    <w:rsid w:val="00B132A1"/>
    <w:rsid w:val="00B1423E"/>
    <w:rsid w:val="00B33858"/>
    <w:rsid w:val="00B343CF"/>
    <w:rsid w:val="00B41139"/>
    <w:rsid w:val="00B41350"/>
    <w:rsid w:val="00B606F6"/>
    <w:rsid w:val="00B61024"/>
    <w:rsid w:val="00B62A8D"/>
    <w:rsid w:val="00B67C05"/>
    <w:rsid w:val="00B75951"/>
    <w:rsid w:val="00B76A27"/>
    <w:rsid w:val="00B8157C"/>
    <w:rsid w:val="00B974B0"/>
    <w:rsid w:val="00BC5E52"/>
    <w:rsid w:val="00BD38D5"/>
    <w:rsid w:val="00BE6E0F"/>
    <w:rsid w:val="00C07C48"/>
    <w:rsid w:val="00C17425"/>
    <w:rsid w:val="00C17968"/>
    <w:rsid w:val="00C17B64"/>
    <w:rsid w:val="00C2383B"/>
    <w:rsid w:val="00C339A4"/>
    <w:rsid w:val="00C3554C"/>
    <w:rsid w:val="00C4256B"/>
    <w:rsid w:val="00C42A03"/>
    <w:rsid w:val="00C475B6"/>
    <w:rsid w:val="00C47707"/>
    <w:rsid w:val="00C53BCC"/>
    <w:rsid w:val="00C7075A"/>
    <w:rsid w:val="00C72830"/>
    <w:rsid w:val="00C864C3"/>
    <w:rsid w:val="00C93917"/>
    <w:rsid w:val="00C93A74"/>
    <w:rsid w:val="00CA2A17"/>
    <w:rsid w:val="00CA4226"/>
    <w:rsid w:val="00CA4306"/>
    <w:rsid w:val="00CB214B"/>
    <w:rsid w:val="00CC0A1E"/>
    <w:rsid w:val="00CC1DE2"/>
    <w:rsid w:val="00CC2F8D"/>
    <w:rsid w:val="00CC4CEE"/>
    <w:rsid w:val="00CE4429"/>
    <w:rsid w:val="00CE4EB2"/>
    <w:rsid w:val="00CE7057"/>
    <w:rsid w:val="00CF36B3"/>
    <w:rsid w:val="00D01884"/>
    <w:rsid w:val="00D06A99"/>
    <w:rsid w:val="00D1525D"/>
    <w:rsid w:val="00D222F2"/>
    <w:rsid w:val="00D22416"/>
    <w:rsid w:val="00D2400F"/>
    <w:rsid w:val="00D26D4A"/>
    <w:rsid w:val="00D31690"/>
    <w:rsid w:val="00D330D2"/>
    <w:rsid w:val="00D337B0"/>
    <w:rsid w:val="00D41554"/>
    <w:rsid w:val="00D41ABA"/>
    <w:rsid w:val="00D652AF"/>
    <w:rsid w:val="00D66564"/>
    <w:rsid w:val="00D76607"/>
    <w:rsid w:val="00D7747A"/>
    <w:rsid w:val="00D97919"/>
    <w:rsid w:val="00DA783E"/>
    <w:rsid w:val="00DC084B"/>
    <w:rsid w:val="00DC0B97"/>
    <w:rsid w:val="00DC51B5"/>
    <w:rsid w:val="00DE4AAB"/>
    <w:rsid w:val="00E06657"/>
    <w:rsid w:val="00E11711"/>
    <w:rsid w:val="00E1409B"/>
    <w:rsid w:val="00E33057"/>
    <w:rsid w:val="00E33275"/>
    <w:rsid w:val="00E52C8D"/>
    <w:rsid w:val="00E536BE"/>
    <w:rsid w:val="00E62DBC"/>
    <w:rsid w:val="00E64449"/>
    <w:rsid w:val="00E71631"/>
    <w:rsid w:val="00E71E51"/>
    <w:rsid w:val="00E91C27"/>
    <w:rsid w:val="00E945AC"/>
    <w:rsid w:val="00EA3E2F"/>
    <w:rsid w:val="00EB0212"/>
    <w:rsid w:val="00EB3D35"/>
    <w:rsid w:val="00EC01D2"/>
    <w:rsid w:val="00EC180F"/>
    <w:rsid w:val="00EC7C9D"/>
    <w:rsid w:val="00EE6D3C"/>
    <w:rsid w:val="00EF1F88"/>
    <w:rsid w:val="00F1268F"/>
    <w:rsid w:val="00F136AB"/>
    <w:rsid w:val="00F278A7"/>
    <w:rsid w:val="00F31687"/>
    <w:rsid w:val="00F35997"/>
    <w:rsid w:val="00F40EA6"/>
    <w:rsid w:val="00F42C14"/>
    <w:rsid w:val="00F6049C"/>
    <w:rsid w:val="00F61F5E"/>
    <w:rsid w:val="00F700BD"/>
    <w:rsid w:val="00F72AC8"/>
    <w:rsid w:val="00F73F53"/>
    <w:rsid w:val="00F75C94"/>
    <w:rsid w:val="00F77929"/>
    <w:rsid w:val="00F87DE9"/>
    <w:rsid w:val="00F91CB5"/>
    <w:rsid w:val="00F95ADD"/>
    <w:rsid w:val="00F96E65"/>
    <w:rsid w:val="00FB4F6A"/>
    <w:rsid w:val="00FC69B8"/>
    <w:rsid w:val="00FE6AC7"/>
    <w:rsid w:val="00FF3858"/>
    <w:rsid w:val="00FF3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2025-07-08T21:21:00Z</dcterms:created>
  <dcterms:modified xsi:type="dcterms:W3CDTF">2025-07-08T21:21:00Z</dcterms:modified>
</cp:coreProperties>
</file>