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C0791" w14:textId="77777777" w:rsidR="00D97489" w:rsidRPr="00A77ADC" w:rsidRDefault="00D97489" w:rsidP="00D97489">
      <w:pPr>
        <w:suppressAutoHyphens/>
        <w:rPr>
          <w:bCs/>
          <w:kern w:val="36"/>
          <w:sz w:val="18"/>
          <w:szCs w:val="48"/>
        </w:rPr>
      </w:pPr>
      <w:r w:rsidRPr="00A77ADC">
        <w:rPr>
          <w:b/>
          <w:bCs/>
          <w:kern w:val="36"/>
          <w:sz w:val="18"/>
          <w:szCs w:val="22"/>
        </w:rPr>
        <w:t>R644.  Natural Resources, Oil, Gas and Mining; Carbon Sequestration.</w:t>
      </w:r>
    </w:p>
    <w:p w14:paraId="388AF688" w14:textId="77777777" w:rsidR="00D97489" w:rsidRPr="00A77ADC" w:rsidRDefault="00D97489" w:rsidP="00D97489">
      <w:pPr>
        <w:suppressAutoHyphens/>
        <w:rPr>
          <w:bCs/>
          <w:sz w:val="18"/>
          <w:szCs w:val="36"/>
        </w:rPr>
      </w:pPr>
      <w:r w:rsidRPr="00A77ADC">
        <w:rPr>
          <w:b/>
          <w:bCs/>
          <w:sz w:val="18"/>
          <w:szCs w:val="22"/>
        </w:rPr>
        <w:t>R644-15.  Reporting.</w:t>
      </w:r>
    </w:p>
    <w:p w14:paraId="4620835E" w14:textId="77777777" w:rsidR="00D97489" w:rsidRPr="00A77ADC" w:rsidRDefault="00D97489" w:rsidP="00D97489">
      <w:pPr>
        <w:suppressAutoHyphens/>
        <w:rPr>
          <w:bCs/>
          <w:sz w:val="18"/>
          <w:szCs w:val="27"/>
        </w:rPr>
      </w:pPr>
      <w:r w:rsidRPr="00A77ADC">
        <w:rPr>
          <w:b/>
          <w:bCs/>
          <w:sz w:val="18"/>
          <w:szCs w:val="22"/>
        </w:rPr>
        <w:t>R644-15-1.  Reporting Requirements.</w:t>
      </w:r>
    </w:p>
    <w:p w14:paraId="685C7D52" w14:textId="77777777" w:rsidR="00D97489" w:rsidRPr="00A77ADC" w:rsidRDefault="00D97489" w:rsidP="00D97489">
      <w:pPr>
        <w:suppressAutoHyphens/>
        <w:rPr>
          <w:sz w:val="18"/>
        </w:rPr>
      </w:pPr>
      <w:r w:rsidRPr="00A77ADC">
        <w:rPr>
          <w:sz w:val="18"/>
          <w:szCs w:val="22"/>
        </w:rPr>
        <w:tab/>
        <w:t>(1)  The operator shall provide, at a minimum, the following reports to the division, for each Class VI well located within the permitted CO2 Sequestration facility:</w:t>
      </w:r>
    </w:p>
    <w:p w14:paraId="3F409A44" w14:textId="77777777" w:rsidR="00D97489" w:rsidRPr="00A77ADC" w:rsidRDefault="00D97489" w:rsidP="00D97489">
      <w:pPr>
        <w:suppressAutoHyphens/>
        <w:rPr>
          <w:sz w:val="18"/>
        </w:rPr>
      </w:pPr>
      <w:r w:rsidRPr="00A77ADC">
        <w:rPr>
          <w:sz w:val="18"/>
          <w:szCs w:val="22"/>
        </w:rPr>
        <w:tab/>
        <w:t>(a)  semi-annual reports containing:</w:t>
      </w:r>
    </w:p>
    <w:p w14:paraId="2C6AF6A0" w14:textId="77777777" w:rsidR="00D97489" w:rsidRPr="00A77ADC" w:rsidRDefault="00D97489" w:rsidP="00D97489">
      <w:pPr>
        <w:suppressAutoHyphens/>
        <w:rPr>
          <w:sz w:val="18"/>
        </w:rPr>
      </w:pPr>
      <w:r w:rsidRPr="00A77ADC">
        <w:rPr>
          <w:sz w:val="18"/>
          <w:szCs w:val="22"/>
        </w:rPr>
        <w:tab/>
        <w:t>(i)  any changes to the physical, chemical, and other relevant characteristics of the carbon dioxide stream from the proposed operating data;</w:t>
      </w:r>
    </w:p>
    <w:p w14:paraId="1E841C63" w14:textId="77777777" w:rsidR="00D97489" w:rsidRPr="00A77ADC" w:rsidRDefault="00D97489" w:rsidP="00D97489">
      <w:pPr>
        <w:suppressAutoHyphens/>
        <w:rPr>
          <w:sz w:val="18"/>
        </w:rPr>
      </w:pPr>
      <w:r w:rsidRPr="00A77ADC">
        <w:rPr>
          <w:sz w:val="18"/>
          <w:szCs w:val="22"/>
        </w:rPr>
        <w:tab/>
        <w:t>(ii)  monthly average, maximum, and minimum values for injection pressure, flow rate and volume, and annular pressure;</w:t>
      </w:r>
    </w:p>
    <w:p w14:paraId="4D41C7A6" w14:textId="77777777" w:rsidR="00D97489" w:rsidRPr="00A77ADC" w:rsidRDefault="00D97489" w:rsidP="00D97489">
      <w:pPr>
        <w:suppressAutoHyphens/>
        <w:rPr>
          <w:sz w:val="18"/>
        </w:rPr>
      </w:pPr>
      <w:r w:rsidRPr="00A77ADC">
        <w:rPr>
          <w:sz w:val="18"/>
          <w:szCs w:val="22"/>
        </w:rPr>
        <w:tab/>
        <w:t>(iii)  a description of any event that exceeds operating parameters for annulus pressure or injection pressure specified in the permit;</w:t>
      </w:r>
    </w:p>
    <w:p w14:paraId="6F95024B" w14:textId="77777777" w:rsidR="00D97489" w:rsidRPr="00A77ADC" w:rsidRDefault="00D97489" w:rsidP="00D97489">
      <w:pPr>
        <w:suppressAutoHyphens/>
        <w:rPr>
          <w:sz w:val="18"/>
        </w:rPr>
      </w:pPr>
      <w:r w:rsidRPr="00A77ADC">
        <w:rPr>
          <w:sz w:val="18"/>
          <w:szCs w:val="22"/>
        </w:rPr>
        <w:tab/>
        <w:t>(iv)  a description of any event that triggers a shut-off device required by Subsection R644-11-1(6) and the response taken;</w:t>
      </w:r>
    </w:p>
    <w:p w14:paraId="4285F307" w14:textId="77777777" w:rsidR="00D97489" w:rsidRPr="00A77ADC" w:rsidRDefault="00D97489" w:rsidP="00D97489">
      <w:pPr>
        <w:suppressAutoHyphens/>
        <w:rPr>
          <w:sz w:val="18"/>
        </w:rPr>
      </w:pPr>
      <w:r w:rsidRPr="00A77ADC">
        <w:rPr>
          <w:sz w:val="18"/>
          <w:szCs w:val="22"/>
        </w:rPr>
        <w:tab/>
        <w:t>(v)  the monthly volume and mass of the carbon dioxide stream injected over the reporting period and the volume injected cumulatively over the life of the project;</w:t>
      </w:r>
    </w:p>
    <w:p w14:paraId="27C93015" w14:textId="77777777" w:rsidR="00D97489" w:rsidRPr="00A77ADC" w:rsidRDefault="00D97489" w:rsidP="00D97489">
      <w:pPr>
        <w:suppressAutoHyphens/>
        <w:rPr>
          <w:sz w:val="18"/>
        </w:rPr>
      </w:pPr>
      <w:r w:rsidRPr="00A77ADC">
        <w:rPr>
          <w:sz w:val="18"/>
          <w:szCs w:val="22"/>
        </w:rPr>
        <w:tab/>
        <w:t>(vi)  monthly annulus fluid volume added;</w:t>
      </w:r>
    </w:p>
    <w:p w14:paraId="6C46559E" w14:textId="77777777" w:rsidR="00D97489" w:rsidRPr="00A77ADC" w:rsidRDefault="00D97489" w:rsidP="00D97489">
      <w:pPr>
        <w:suppressAutoHyphens/>
        <w:rPr>
          <w:sz w:val="18"/>
        </w:rPr>
      </w:pPr>
      <w:r w:rsidRPr="00A77ADC">
        <w:rPr>
          <w:sz w:val="18"/>
          <w:szCs w:val="22"/>
        </w:rPr>
        <w:tab/>
        <w:t>(vii)  the results of monitoring prescribed under Rule R644-13; and</w:t>
      </w:r>
    </w:p>
    <w:p w14:paraId="614F6CE2" w14:textId="77777777" w:rsidR="00D97489" w:rsidRPr="00A77ADC" w:rsidRDefault="00D97489" w:rsidP="00D97489">
      <w:pPr>
        <w:suppressAutoHyphens/>
        <w:rPr>
          <w:sz w:val="18"/>
        </w:rPr>
      </w:pPr>
      <w:r w:rsidRPr="00A77ADC">
        <w:rPr>
          <w:sz w:val="18"/>
          <w:szCs w:val="22"/>
        </w:rPr>
        <w:tab/>
        <w:t>(viii)  the raw operating data from the continuous recording devices prescribed by Subsection R644-11-1(5) submitted in digital format;</w:t>
      </w:r>
    </w:p>
    <w:p w14:paraId="3F10F5E4" w14:textId="77777777" w:rsidR="00D97489" w:rsidRPr="00A77ADC" w:rsidRDefault="00D97489" w:rsidP="00D97489">
      <w:pPr>
        <w:suppressAutoHyphens/>
        <w:rPr>
          <w:sz w:val="18"/>
        </w:rPr>
      </w:pPr>
      <w:r w:rsidRPr="00A77ADC">
        <w:rPr>
          <w:sz w:val="18"/>
          <w:szCs w:val="22"/>
        </w:rPr>
        <w:tab/>
        <w:t>(b)  report, within 30 days, the results of:</w:t>
      </w:r>
    </w:p>
    <w:p w14:paraId="08B5F2DD" w14:textId="77777777" w:rsidR="00D97489" w:rsidRPr="00A77ADC" w:rsidRDefault="00D97489" w:rsidP="00D97489">
      <w:pPr>
        <w:suppressAutoHyphens/>
        <w:rPr>
          <w:sz w:val="18"/>
        </w:rPr>
      </w:pPr>
      <w:r w:rsidRPr="00A77ADC">
        <w:rPr>
          <w:sz w:val="18"/>
          <w:szCs w:val="22"/>
        </w:rPr>
        <w:tab/>
        <w:t>(i)  periodic tests of mechanical integrity;</w:t>
      </w:r>
    </w:p>
    <w:p w14:paraId="4732C341" w14:textId="77777777" w:rsidR="00D97489" w:rsidRPr="00A77ADC" w:rsidRDefault="00D97489" w:rsidP="00D97489">
      <w:pPr>
        <w:suppressAutoHyphens/>
        <w:rPr>
          <w:sz w:val="18"/>
        </w:rPr>
      </w:pPr>
      <w:r w:rsidRPr="00A77ADC">
        <w:rPr>
          <w:sz w:val="18"/>
          <w:szCs w:val="22"/>
        </w:rPr>
        <w:tab/>
        <w:t>(ii)  any well workover; and</w:t>
      </w:r>
    </w:p>
    <w:p w14:paraId="01796C95" w14:textId="77777777" w:rsidR="00D97489" w:rsidRPr="00A77ADC" w:rsidRDefault="00D97489" w:rsidP="00D97489">
      <w:pPr>
        <w:suppressAutoHyphens/>
        <w:rPr>
          <w:sz w:val="18"/>
        </w:rPr>
      </w:pPr>
      <w:r w:rsidRPr="00A77ADC">
        <w:rPr>
          <w:sz w:val="18"/>
          <w:szCs w:val="22"/>
        </w:rPr>
        <w:tab/>
        <w:t>(iii)  any other test of the injection well conducted by the operator if required by the division;</w:t>
      </w:r>
    </w:p>
    <w:p w14:paraId="2A474D0C" w14:textId="77777777" w:rsidR="00D97489" w:rsidRPr="00A77ADC" w:rsidRDefault="00D97489" w:rsidP="00D97489">
      <w:pPr>
        <w:suppressAutoHyphens/>
        <w:rPr>
          <w:sz w:val="18"/>
        </w:rPr>
      </w:pPr>
      <w:r w:rsidRPr="00A77ADC">
        <w:rPr>
          <w:sz w:val="18"/>
          <w:szCs w:val="22"/>
        </w:rPr>
        <w:tab/>
        <w:t>(c)  report, within 24 hours:</w:t>
      </w:r>
    </w:p>
    <w:p w14:paraId="0C6392B1" w14:textId="77777777" w:rsidR="00D97489" w:rsidRPr="00A77ADC" w:rsidRDefault="00D97489" w:rsidP="00D97489">
      <w:pPr>
        <w:suppressAutoHyphens/>
        <w:rPr>
          <w:sz w:val="18"/>
        </w:rPr>
      </w:pPr>
      <w:r w:rsidRPr="00A77ADC">
        <w:rPr>
          <w:sz w:val="18"/>
          <w:szCs w:val="22"/>
        </w:rPr>
        <w:tab/>
        <w:t>(i)  any evidence that the injected carbon dioxide stream or associated pressure front may cause an endangerment to a USDW; any noncompliance with a permit condition, or malfunction of the injection system, that may cause fluid migration into or between USDWs;</w:t>
      </w:r>
    </w:p>
    <w:p w14:paraId="62FF3A4C" w14:textId="77777777" w:rsidR="00D97489" w:rsidRPr="00A77ADC" w:rsidRDefault="00D97489" w:rsidP="00D97489">
      <w:pPr>
        <w:suppressAutoHyphens/>
        <w:rPr>
          <w:sz w:val="18"/>
        </w:rPr>
      </w:pPr>
      <w:r w:rsidRPr="00A77ADC">
        <w:rPr>
          <w:sz w:val="18"/>
          <w:szCs w:val="22"/>
        </w:rPr>
        <w:tab/>
        <w:t>(ii)  any triggering of a shut-off system, such as down-hole or at the surface;</w:t>
      </w:r>
    </w:p>
    <w:p w14:paraId="746C5B52" w14:textId="77777777" w:rsidR="00D97489" w:rsidRPr="00A77ADC" w:rsidRDefault="00D97489" w:rsidP="00D97489">
      <w:pPr>
        <w:suppressAutoHyphens/>
        <w:rPr>
          <w:sz w:val="18"/>
        </w:rPr>
      </w:pPr>
      <w:r w:rsidRPr="00A77ADC">
        <w:rPr>
          <w:sz w:val="18"/>
          <w:szCs w:val="22"/>
        </w:rPr>
        <w:tab/>
        <w:t>(iii)  any failure to maintain mechanical integrity; or</w:t>
      </w:r>
    </w:p>
    <w:p w14:paraId="7BF85BE9" w14:textId="77777777" w:rsidR="00D97489" w:rsidRPr="00A77ADC" w:rsidRDefault="00D97489" w:rsidP="00D97489">
      <w:pPr>
        <w:suppressAutoHyphens/>
        <w:rPr>
          <w:sz w:val="18"/>
        </w:rPr>
      </w:pPr>
      <w:r w:rsidRPr="00A77ADC">
        <w:rPr>
          <w:sz w:val="18"/>
          <w:szCs w:val="22"/>
        </w:rPr>
        <w:tab/>
        <w:t>(iv)  any release of carbon dioxide to the atmosphere or biosphere pursuant to compliance with the requirement at Subsection R644-13-1(h) for surface air monitoring and soil gas monitoring or other monitoring technologies, if required by the division.</w:t>
      </w:r>
    </w:p>
    <w:p w14:paraId="01EAF50E" w14:textId="77777777" w:rsidR="00D97489" w:rsidRPr="00A77ADC" w:rsidRDefault="00D97489" w:rsidP="00D97489">
      <w:pPr>
        <w:suppressAutoHyphens/>
        <w:rPr>
          <w:sz w:val="18"/>
        </w:rPr>
      </w:pPr>
      <w:r w:rsidRPr="00A77ADC">
        <w:rPr>
          <w:sz w:val="18"/>
          <w:szCs w:val="22"/>
        </w:rPr>
        <w:tab/>
        <w:t>(d)  noncompliance Reporting:</w:t>
      </w:r>
    </w:p>
    <w:p w14:paraId="2DC7D3DB" w14:textId="77777777" w:rsidR="00D97489" w:rsidRPr="00A77ADC" w:rsidRDefault="00D97489" w:rsidP="00D97489">
      <w:pPr>
        <w:suppressAutoHyphens/>
        <w:rPr>
          <w:sz w:val="18"/>
        </w:rPr>
      </w:pPr>
      <w:r w:rsidRPr="00A77ADC">
        <w:rPr>
          <w:sz w:val="18"/>
          <w:szCs w:val="22"/>
        </w:rPr>
        <w:tab/>
        <w:t>(i)  the operator shall report to the division, within 24 hours, any noncompliance that may endanger health or the environment. The report shall include any pertinent information regarding the noncompliance and steps taken to resolve the incident. The following additional information shall be included:</w:t>
      </w:r>
    </w:p>
    <w:p w14:paraId="6617541F" w14:textId="77777777" w:rsidR="00D97489" w:rsidRPr="00A77ADC" w:rsidRDefault="00D97489" w:rsidP="00D97489">
      <w:pPr>
        <w:suppressAutoHyphens/>
        <w:rPr>
          <w:sz w:val="18"/>
        </w:rPr>
      </w:pPr>
      <w:r w:rsidRPr="00A77ADC">
        <w:rPr>
          <w:sz w:val="18"/>
          <w:szCs w:val="22"/>
        </w:rPr>
        <w:tab/>
        <w:t>(A)  any monitoring or other information that indicates that any contaminant may cause an endangerment to a USDW;</w:t>
      </w:r>
    </w:p>
    <w:p w14:paraId="280318C2" w14:textId="77777777" w:rsidR="00D97489" w:rsidRPr="00A77ADC" w:rsidRDefault="00D97489" w:rsidP="00D97489">
      <w:pPr>
        <w:suppressAutoHyphens/>
        <w:rPr>
          <w:sz w:val="18"/>
        </w:rPr>
      </w:pPr>
      <w:r w:rsidRPr="00A77ADC">
        <w:rPr>
          <w:sz w:val="18"/>
          <w:szCs w:val="22"/>
        </w:rPr>
        <w:tab/>
        <w:t>(B)  any noncompliance with a permit condition or malfunction of the injection system that may cause fluid migration into or between USDWs.</w:t>
      </w:r>
    </w:p>
    <w:p w14:paraId="19D988BF" w14:textId="77777777" w:rsidR="00D97489" w:rsidRPr="00A77ADC" w:rsidRDefault="00D97489" w:rsidP="00D97489">
      <w:pPr>
        <w:suppressAutoHyphens/>
        <w:rPr>
          <w:sz w:val="18"/>
        </w:rPr>
      </w:pPr>
      <w:r w:rsidRPr="00A77ADC">
        <w:rPr>
          <w:sz w:val="18"/>
          <w:szCs w:val="22"/>
        </w:rPr>
        <w:tab/>
        <w:t>(ii)  when the operator becomes aware of additional relevant information regarding the noncompliance, they shall promptly submit such facts and information.</w:t>
      </w:r>
    </w:p>
    <w:p w14:paraId="495FB8B0" w14:textId="77777777" w:rsidR="00D97489" w:rsidRPr="00A77ADC" w:rsidRDefault="00D97489" w:rsidP="00D97489">
      <w:pPr>
        <w:suppressAutoHyphens/>
        <w:rPr>
          <w:sz w:val="18"/>
        </w:rPr>
      </w:pPr>
      <w:r w:rsidRPr="00A77ADC">
        <w:rPr>
          <w:sz w:val="18"/>
          <w:szCs w:val="22"/>
        </w:rPr>
        <w:tab/>
        <w:t>(iii)  a written submission shall also be provided within five days of the time the operator becomes aware of the circumstances and shall contain a description of the noncompliance and its cause; the period of noncompliance, including exact dates and times, and if the noncompliance has not been corrected, the anticipated time it is expected to continue; and steps taken or planned to reduce, eliminate, and prevent reoccurrence of the noncompliance.</w:t>
      </w:r>
    </w:p>
    <w:p w14:paraId="783D25B4" w14:textId="77777777" w:rsidR="00D97489" w:rsidRPr="00A77ADC" w:rsidRDefault="00D97489" w:rsidP="00D97489">
      <w:pPr>
        <w:suppressAutoHyphens/>
        <w:rPr>
          <w:sz w:val="18"/>
        </w:rPr>
      </w:pPr>
      <w:r w:rsidRPr="00A77ADC">
        <w:rPr>
          <w:sz w:val="18"/>
          <w:szCs w:val="22"/>
        </w:rPr>
        <w:tab/>
        <w:t>(2)  The operator must notify the division in writing 30 days in advance of doing any well workover, formation testing, or planned stimulation activities as required in Subsection R644-11-1(8).</w:t>
      </w:r>
    </w:p>
    <w:p w14:paraId="5CDC6E90" w14:textId="77777777" w:rsidR="00D97489" w:rsidRPr="00A77ADC" w:rsidRDefault="00D97489" w:rsidP="00D97489">
      <w:pPr>
        <w:suppressAutoHyphens/>
        <w:rPr>
          <w:sz w:val="18"/>
        </w:rPr>
      </w:pPr>
      <w:r w:rsidRPr="00A77ADC">
        <w:rPr>
          <w:sz w:val="18"/>
          <w:szCs w:val="22"/>
        </w:rPr>
        <w:tab/>
        <w:t>(3)  The operator shall submit all required reports, submittals, and notifications under Title R644 to the USEPA in an electronic format approved by that agency.</w:t>
      </w:r>
    </w:p>
    <w:p w14:paraId="0F8A740A" w14:textId="77777777" w:rsidR="00D97489" w:rsidRPr="00A77ADC" w:rsidRDefault="00D97489" w:rsidP="00D97489">
      <w:pPr>
        <w:suppressAutoHyphens/>
        <w:rPr>
          <w:sz w:val="18"/>
        </w:rPr>
      </w:pPr>
      <w:r w:rsidRPr="00A77ADC">
        <w:rPr>
          <w:sz w:val="18"/>
          <w:szCs w:val="22"/>
        </w:rPr>
        <w:tab/>
        <w:t>(4)  Records shall be retained by the operator as follows:</w:t>
      </w:r>
    </w:p>
    <w:p w14:paraId="4D92626C" w14:textId="77777777" w:rsidR="00D97489" w:rsidRPr="00A77ADC" w:rsidRDefault="00D97489" w:rsidP="00D97489">
      <w:pPr>
        <w:suppressAutoHyphens/>
        <w:rPr>
          <w:sz w:val="18"/>
        </w:rPr>
      </w:pPr>
      <w:r w:rsidRPr="00A77ADC">
        <w:rPr>
          <w:sz w:val="18"/>
          <w:szCs w:val="22"/>
        </w:rPr>
        <w:tab/>
        <w:t>(a)  data collected for CO2 Sequestration facility permit applications in Rules R644-4 and R644-10 shall be retained throughout the life of the geologic sequestration project and at least 10 years following site closure.</w:t>
      </w:r>
    </w:p>
    <w:p w14:paraId="03D6AB52" w14:textId="77777777" w:rsidR="00D97489" w:rsidRPr="00A77ADC" w:rsidRDefault="00D97489" w:rsidP="00D97489">
      <w:pPr>
        <w:suppressAutoHyphens/>
        <w:rPr>
          <w:sz w:val="18"/>
        </w:rPr>
      </w:pPr>
      <w:r w:rsidRPr="00A77ADC">
        <w:rPr>
          <w:sz w:val="18"/>
          <w:szCs w:val="22"/>
        </w:rPr>
        <w:tab/>
        <w:t>(b)  data on the nature and composition of each injected fluid collected under Subsection R644-13-1(1)(a) shall be retained at least 10 years after site closure. The division may require the operator to deliver the records to the division at the conclusion of the retention period.</w:t>
      </w:r>
    </w:p>
    <w:p w14:paraId="5D771359" w14:textId="77777777" w:rsidR="00D97489" w:rsidRPr="00A77ADC" w:rsidRDefault="00D97489" w:rsidP="00D97489">
      <w:pPr>
        <w:suppressAutoHyphens/>
        <w:rPr>
          <w:sz w:val="18"/>
        </w:rPr>
      </w:pPr>
      <w:r w:rsidRPr="00A77ADC">
        <w:rPr>
          <w:sz w:val="18"/>
          <w:szCs w:val="22"/>
        </w:rPr>
        <w:tab/>
        <w:t>(c)  monitoring data collected under Subsections R644-13-1(1)(b) and (1)(i) shall be retained at least 10 years after it is collected.</w:t>
      </w:r>
    </w:p>
    <w:p w14:paraId="3C2E1DC4" w14:textId="77777777" w:rsidR="00D97489" w:rsidRPr="00A77ADC" w:rsidRDefault="00D97489" w:rsidP="00D97489">
      <w:pPr>
        <w:suppressAutoHyphens/>
        <w:rPr>
          <w:sz w:val="18"/>
        </w:rPr>
      </w:pPr>
      <w:r w:rsidRPr="00A77ADC">
        <w:rPr>
          <w:sz w:val="18"/>
          <w:szCs w:val="22"/>
        </w:rPr>
        <w:tab/>
        <w:t>(d)  well plugging reports, post-injection site care data, including, if appropriate, data and information used to develop the demonstration of the alternative post-injection site care timeframe, and the site closure report collected pursuant to requirements at Subsections R644-17-1(5) and (7) shall be retained at least 10 years following site closure.</w:t>
      </w:r>
    </w:p>
    <w:p w14:paraId="5038B946" w14:textId="77777777" w:rsidR="00D97489" w:rsidRPr="00A77ADC" w:rsidRDefault="00D97489" w:rsidP="00D97489">
      <w:pPr>
        <w:suppressAutoHyphens/>
        <w:rPr>
          <w:sz w:val="18"/>
        </w:rPr>
      </w:pPr>
      <w:r w:rsidRPr="00A77ADC">
        <w:rPr>
          <w:sz w:val="18"/>
          <w:szCs w:val="22"/>
        </w:rPr>
        <w:lastRenderedPageBreak/>
        <w:tab/>
        <w:t>(e)  the division may require the owner or operator to retain any records required under this rule for longer than 10 years after site closure.</w:t>
      </w:r>
    </w:p>
    <w:p w14:paraId="2B28A0CD" w14:textId="77777777" w:rsidR="00D97489" w:rsidRPr="00A77ADC" w:rsidRDefault="00D97489" w:rsidP="00D97489">
      <w:pPr>
        <w:suppressAutoHyphens/>
        <w:rPr>
          <w:sz w:val="18"/>
        </w:rPr>
      </w:pPr>
    </w:p>
    <w:p w14:paraId="50ADA14D" w14:textId="77777777" w:rsidR="00D97489" w:rsidRPr="00A77ADC" w:rsidRDefault="00D97489" w:rsidP="00D97489">
      <w:pPr>
        <w:suppressAutoHyphens/>
        <w:rPr>
          <w:bCs/>
          <w:sz w:val="18"/>
          <w:szCs w:val="27"/>
        </w:rPr>
      </w:pPr>
      <w:r w:rsidRPr="00A77ADC">
        <w:rPr>
          <w:b/>
          <w:bCs/>
          <w:sz w:val="18"/>
          <w:szCs w:val="22"/>
        </w:rPr>
        <w:t>R644-15-2.  Recordkeeping.</w:t>
      </w:r>
    </w:p>
    <w:p w14:paraId="3011F618" w14:textId="77777777" w:rsidR="00D97489" w:rsidRPr="00A77ADC" w:rsidRDefault="00D97489" w:rsidP="00D97489">
      <w:pPr>
        <w:suppressAutoHyphens/>
        <w:rPr>
          <w:sz w:val="18"/>
        </w:rPr>
      </w:pPr>
      <w:r w:rsidRPr="00A77ADC">
        <w:rPr>
          <w:sz w:val="18"/>
          <w:szCs w:val="22"/>
        </w:rPr>
        <w:tab/>
        <w:t>An operator of a Class VI well shall retain their records as specified in Subsections R644-8-3(4) and R644-17-1(5), R644-17-1(6), and R644-17-1(8).</w:t>
      </w:r>
    </w:p>
    <w:p w14:paraId="3C1AB882" w14:textId="77777777" w:rsidR="00D97489" w:rsidRPr="00A77ADC" w:rsidRDefault="00D97489" w:rsidP="00D97489">
      <w:pPr>
        <w:suppressAutoHyphens/>
        <w:rPr>
          <w:sz w:val="18"/>
        </w:rPr>
      </w:pPr>
    </w:p>
    <w:p w14:paraId="68251922" w14:textId="77777777" w:rsidR="00D97489" w:rsidRPr="00A77ADC" w:rsidRDefault="00D97489" w:rsidP="00D97489">
      <w:pPr>
        <w:suppressAutoHyphens/>
        <w:rPr>
          <w:bCs/>
          <w:sz w:val="18"/>
        </w:rPr>
      </w:pPr>
      <w:r w:rsidRPr="00A77ADC">
        <w:rPr>
          <w:b/>
          <w:bCs/>
          <w:sz w:val="18"/>
          <w:szCs w:val="22"/>
        </w:rPr>
        <w:t>KEY:  oil and gas law</w:t>
      </w:r>
    </w:p>
    <w:p w14:paraId="7242193F" w14:textId="186304FC" w:rsidR="00D97489" w:rsidRPr="00A77ADC" w:rsidRDefault="00D97489" w:rsidP="00D97489">
      <w:pPr>
        <w:suppressAutoHyphens/>
        <w:rPr>
          <w:bCs/>
          <w:sz w:val="18"/>
        </w:rPr>
      </w:pPr>
      <w:r w:rsidRPr="00A77ADC">
        <w:rPr>
          <w:b/>
          <w:bCs/>
          <w:sz w:val="18"/>
          <w:szCs w:val="22"/>
        </w:rPr>
        <w:t xml:space="preserve">Date of Last Change:  </w:t>
      </w:r>
      <w:r w:rsidR="006A3502" w:rsidRPr="00A77ADC">
        <w:rPr>
          <w:b/>
          <w:bCs/>
          <w:sz w:val="18"/>
          <w:szCs w:val="22"/>
        </w:rPr>
        <w:t xml:space="preserve">July 31, </w:t>
      </w:r>
      <w:r w:rsidRPr="00A77ADC">
        <w:rPr>
          <w:b/>
          <w:bCs/>
          <w:sz w:val="18"/>
          <w:szCs w:val="22"/>
        </w:rPr>
        <w:t>2025</w:t>
      </w:r>
    </w:p>
    <w:p w14:paraId="6CCF754D" w14:textId="77777777" w:rsidR="00D97489" w:rsidRPr="00A77ADC" w:rsidRDefault="00D97489" w:rsidP="00D97489">
      <w:pPr>
        <w:suppressAutoHyphens/>
        <w:rPr>
          <w:bCs/>
          <w:sz w:val="18"/>
        </w:rPr>
      </w:pPr>
      <w:r w:rsidRPr="00A77ADC">
        <w:rPr>
          <w:b/>
          <w:bCs/>
          <w:sz w:val="18"/>
          <w:szCs w:val="22"/>
        </w:rPr>
        <w:t>Authorizing, and Implemented or Interpreted Law:  40-11-3</w:t>
      </w:r>
    </w:p>
    <w:p w14:paraId="6DD40F12" w14:textId="77777777" w:rsidR="00D97489" w:rsidRPr="00A77ADC" w:rsidRDefault="00D97489" w:rsidP="00D97489">
      <w:pPr>
        <w:suppressAutoHyphens/>
        <w:rPr>
          <w:sz w:val="18"/>
        </w:rPr>
      </w:pPr>
    </w:p>
    <w:p w14:paraId="7C644C0F" w14:textId="18443505" w:rsidR="00D97489" w:rsidRPr="00A77ADC" w:rsidRDefault="00D97489" w:rsidP="00D97489">
      <w:pPr>
        <w:suppressAutoHyphens/>
        <w:rPr>
          <w:sz w:val="18"/>
        </w:rPr>
      </w:pPr>
    </w:p>
    <w:sectPr w:rsidR="00D97489" w:rsidRPr="00A77ADC" w:rsidSect="00A77ADC">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611"/>
    <w:rsid w:val="00003B93"/>
    <w:rsid w:val="00067046"/>
    <w:rsid w:val="000A39D7"/>
    <w:rsid w:val="000E3793"/>
    <w:rsid w:val="00162D07"/>
    <w:rsid w:val="001977AE"/>
    <w:rsid w:val="001E4FA1"/>
    <w:rsid w:val="00217172"/>
    <w:rsid w:val="00235415"/>
    <w:rsid w:val="00236566"/>
    <w:rsid w:val="00266ACB"/>
    <w:rsid w:val="00292611"/>
    <w:rsid w:val="002B25B8"/>
    <w:rsid w:val="002B6B81"/>
    <w:rsid w:val="002E4737"/>
    <w:rsid w:val="002F20AC"/>
    <w:rsid w:val="0033373D"/>
    <w:rsid w:val="00334D7C"/>
    <w:rsid w:val="00352961"/>
    <w:rsid w:val="00372371"/>
    <w:rsid w:val="00397D4D"/>
    <w:rsid w:val="003A512A"/>
    <w:rsid w:val="003D7F3F"/>
    <w:rsid w:val="0045427C"/>
    <w:rsid w:val="004D5CB6"/>
    <w:rsid w:val="004E0120"/>
    <w:rsid w:val="00531B44"/>
    <w:rsid w:val="0053474D"/>
    <w:rsid w:val="005452D6"/>
    <w:rsid w:val="005B068B"/>
    <w:rsid w:val="005D59B9"/>
    <w:rsid w:val="006021C3"/>
    <w:rsid w:val="006247E3"/>
    <w:rsid w:val="006479D6"/>
    <w:rsid w:val="0065080B"/>
    <w:rsid w:val="00685ABD"/>
    <w:rsid w:val="00686712"/>
    <w:rsid w:val="00693512"/>
    <w:rsid w:val="006A3502"/>
    <w:rsid w:val="006A7CCD"/>
    <w:rsid w:val="007A2BD0"/>
    <w:rsid w:val="007B12E1"/>
    <w:rsid w:val="007C483B"/>
    <w:rsid w:val="007C7E01"/>
    <w:rsid w:val="007D730B"/>
    <w:rsid w:val="00850985"/>
    <w:rsid w:val="008B7387"/>
    <w:rsid w:val="008D60BB"/>
    <w:rsid w:val="00936A61"/>
    <w:rsid w:val="00986955"/>
    <w:rsid w:val="00997682"/>
    <w:rsid w:val="009A7F10"/>
    <w:rsid w:val="009B076E"/>
    <w:rsid w:val="00A46EB3"/>
    <w:rsid w:val="00A77ADC"/>
    <w:rsid w:val="00A856BF"/>
    <w:rsid w:val="00AA2872"/>
    <w:rsid w:val="00AB2734"/>
    <w:rsid w:val="00AE6900"/>
    <w:rsid w:val="00B21B0B"/>
    <w:rsid w:val="00B75D78"/>
    <w:rsid w:val="00B97D38"/>
    <w:rsid w:val="00BA47A1"/>
    <w:rsid w:val="00BB04BF"/>
    <w:rsid w:val="00BB4421"/>
    <w:rsid w:val="00BC4996"/>
    <w:rsid w:val="00BE6921"/>
    <w:rsid w:val="00C045B4"/>
    <w:rsid w:val="00C131CF"/>
    <w:rsid w:val="00C14D4F"/>
    <w:rsid w:val="00C47943"/>
    <w:rsid w:val="00CA4E26"/>
    <w:rsid w:val="00D02D2B"/>
    <w:rsid w:val="00D618C4"/>
    <w:rsid w:val="00D97489"/>
    <w:rsid w:val="00E1556F"/>
    <w:rsid w:val="00E56FBD"/>
    <w:rsid w:val="00E76E41"/>
    <w:rsid w:val="00E97398"/>
    <w:rsid w:val="00F04EAD"/>
    <w:rsid w:val="00F210ED"/>
    <w:rsid w:val="00F66C99"/>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F393C"/>
  <w15:chartTrackingRefBased/>
  <w15:docId w15:val="{11A916AD-61FA-46CE-89A8-5F0E073D2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611"/>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29261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9261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92611"/>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92611"/>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292611"/>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292611"/>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292611"/>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292611"/>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292611"/>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6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26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26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26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26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26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26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26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2611"/>
    <w:rPr>
      <w:rFonts w:eastAsiaTheme="majorEastAsia" w:cstheme="majorBidi"/>
      <w:color w:val="272727" w:themeColor="text1" w:themeTint="D8"/>
    </w:rPr>
  </w:style>
  <w:style w:type="paragraph" w:styleId="Title">
    <w:name w:val="Title"/>
    <w:basedOn w:val="Normal"/>
    <w:next w:val="Normal"/>
    <w:link w:val="TitleChar"/>
    <w:uiPriority w:val="10"/>
    <w:qFormat/>
    <w:rsid w:val="00292611"/>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926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2611"/>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926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2611"/>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292611"/>
    <w:rPr>
      <w:i/>
      <w:iCs/>
      <w:color w:val="404040" w:themeColor="text1" w:themeTint="BF"/>
    </w:rPr>
  </w:style>
  <w:style w:type="paragraph" w:styleId="ListParagraph">
    <w:name w:val="List Paragraph"/>
    <w:basedOn w:val="Normal"/>
    <w:uiPriority w:val="34"/>
    <w:qFormat/>
    <w:rsid w:val="00292611"/>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292611"/>
    <w:rPr>
      <w:i/>
      <w:iCs/>
      <w:color w:val="0F4761" w:themeColor="accent1" w:themeShade="BF"/>
    </w:rPr>
  </w:style>
  <w:style w:type="paragraph" w:styleId="IntenseQuote">
    <w:name w:val="Intense Quote"/>
    <w:basedOn w:val="Normal"/>
    <w:next w:val="Normal"/>
    <w:link w:val="IntenseQuoteChar"/>
    <w:uiPriority w:val="30"/>
    <w:qFormat/>
    <w:rsid w:val="0029261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292611"/>
    <w:rPr>
      <w:i/>
      <w:iCs/>
      <w:color w:val="0F4761" w:themeColor="accent1" w:themeShade="BF"/>
    </w:rPr>
  </w:style>
  <w:style w:type="character" w:styleId="IntenseReference">
    <w:name w:val="Intense Reference"/>
    <w:basedOn w:val="DefaultParagraphFont"/>
    <w:uiPriority w:val="32"/>
    <w:qFormat/>
    <w:rsid w:val="00292611"/>
    <w:rPr>
      <w:b/>
      <w:bCs/>
      <w:smallCaps/>
      <w:color w:val="0F4761" w:themeColor="accent1" w:themeShade="BF"/>
      <w:spacing w:val="5"/>
    </w:rPr>
  </w:style>
  <w:style w:type="paragraph" w:styleId="NormalWeb">
    <w:name w:val="Normal (Web)"/>
    <w:basedOn w:val="Normal"/>
    <w:uiPriority w:val="99"/>
    <w:semiHidden/>
    <w:rsid w:val="00292611"/>
    <w:pPr>
      <w:spacing w:before="100" w:beforeAutospacing="1" w:after="100" w:afterAutospacing="1"/>
    </w:pPr>
  </w:style>
  <w:style w:type="paragraph" w:customStyle="1" w:styleId="WW-Default">
    <w:name w:val="WW-Default"/>
    <w:uiPriority w:val="99"/>
    <w:rsid w:val="00292611"/>
    <w:pPr>
      <w:widowControl w:val="0"/>
      <w:autoSpaceDE w:val="0"/>
      <w:autoSpaceDN w:val="0"/>
      <w:adjustRightInd w:val="0"/>
      <w:spacing w:after="0" w:line="240" w:lineRule="auto"/>
    </w:pPr>
    <w:rPr>
      <w:rFonts w:ascii="Courier New" w:eastAsia="Times New Roman" w:hAnsi="Times New Roman" w:cs="Courier New"/>
      <w:kern w:val="0"/>
      <w:lang w:bidi="hi-IN"/>
      <w14:ligatures w14:val="none"/>
    </w:rPr>
  </w:style>
  <w:style w:type="character" w:styleId="PlaceholderText">
    <w:name w:val="Placeholder Text"/>
    <w:basedOn w:val="DefaultParagraphFont"/>
    <w:uiPriority w:val="99"/>
    <w:semiHidden/>
    <w:rsid w:val="002926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4455</Characters>
  <Application>Microsoft Office Word</Application>
  <DocSecurity>0</DocSecurity>
  <Lines>37</Lines>
  <Paragraphs>10</Paragraphs>
  <ScaleCrop>false</ScaleCrop>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2025-08-07T16:47:00Z</dcterms:created>
  <dcterms:modified xsi:type="dcterms:W3CDTF">2025-08-07T16:47:00Z</dcterms:modified>
</cp:coreProperties>
</file>