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0583A" w14:textId="47A50D9A" w:rsidR="007E5C29" w:rsidRPr="00C9762A" w:rsidRDefault="007E5C29" w:rsidP="005A7AFB">
      <w:r w:rsidRPr="00C9762A">
        <w:rPr>
          <w:b/>
          <w:bCs/>
        </w:rPr>
        <w:t>R649.  Natural Resources; Oil, Gas and Mining; Oil and Gas.</w:t>
      </w:r>
    </w:p>
    <w:p w14:paraId="65059B7C" w14:textId="37452FE3" w:rsidR="007E5C29" w:rsidRPr="00C9762A" w:rsidRDefault="007E5C29" w:rsidP="005A7AFB">
      <w:r w:rsidRPr="00C9762A">
        <w:rPr>
          <w:b/>
          <w:bCs/>
        </w:rPr>
        <w:t>R649</w:t>
      </w:r>
      <w:r w:rsidR="005A7AFB" w:rsidRPr="00C9762A">
        <w:rPr>
          <w:b/>
          <w:bCs/>
        </w:rPr>
        <w:t>-</w:t>
      </w:r>
      <w:r w:rsidRPr="00C9762A">
        <w:rPr>
          <w:b/>
          <w:bCs/>
        </w:rPr>
        <w:t>6.  Gas Processing and Waste Crude Oil Treatment.</w:t>
      </w:r>
    </w:p>
    <w:p w14:paraId="232ACBE6" w14:textId="6CF2BDFE" w:rsidR="007E5C29" w:rsidRPr="00C9762A" w:rsidRDefault="007E5C29" w:rsidP="005A7AFB">
      <w:r w:rsidRPr="00C9762A">
        <w:rPr>
          <w:b/>
          <w:bCs/>
        </w:rPr>
        <w:t>R649</w:t>
      </w:r>
      <w:r w:rsidR="005A7AFB" w:rsidRPr="00C9762A">
        <w:rPr>
          <w:b/>
          <w:bCs/>
        </w:rPr>
        <w:t>-</w:t>
      </w:r>
      <w:r w:rsidRPr="00C9762A">
        <w:rPr>
          <w:b/>
          <w:bCs/>
        </w:rPr>
        <w:t>6</w:t>
      </w:r>
      <w:r w:rsidR="005A7AFB" w:rsidRPr="00C9762A">
        <w:rPr>
          <w:b/>
          <w:bCs/>
        </w:rPr>
        <w:t>-</w:t>
      </w:r>
      <w:r w:rsidRPr="00C9762A">
        <w:rPr>
          <w:b/>
          <w:bCs/>
        </w:rPr>
        <w:t>1.  Gas Processing Plants.</w:t>
      </w:r>
    </w:p>
    <w:p w14:paraId="3BDD06F4" w14:textId="5412A94C" w:rsidR="007E5C29" w:rsidRPr="00C9762A" w:rsidRDefault="007E5C29" w:rsidP="005A7AFB">
      <w:r w:rsidRPr="00C9762A">
        <w:tab/>
        <w:t>1.  In accordance with Section 40</w:t>
      </w:r>
      <w:r w:rsidR="005A7AFB" w:rsidRPr="00C9762A">
        <w:t>-</w:t>
      </w:r>
      <w:r w:rsidRPr="00C9762A">
        <w:t>6</w:t>
      </w:r>
      <w:r w:rsidR="005A7AFB" w:rsidRPr="00C9762A">
        <w:t>-</w:t>
      </w:r>
      <w:r w:rsidRPr="00C9762A">
        <w:t>16 any operator of a facility or plant in which liquefiable hydrocarbons are removed from natural gas, including wet gas or casinghead gas, and the remaining residue gas is conditioned for delivery for sale, recycling, or other use, shall file monthly, Form 13</w:t>
      </w:r>
      <w:r w:rsidR="005A7AFB" w:rsidRPr="00C9762A">
        <w:t>-</w:t>
      </w:r>
      <w:r w:rsidRPr="00C9762A">
        <w:t>A and Form 13</w:t>
      </w:r>
      <w:r w:rsidR="005A7AFB" w:rsidRPr="00C9762A">
        <w:t>-</w:t>
      </w:r>
      <w:r w:rsidRPr="00C9762A">
        <w:t>B.</w:t>
      </w:r>
    </w:p>
    <w:p w14:paraId="296094A9" w14:textId="77777777" w:rsidR="007E5C29" w:rsidRPr="00C9762A" w:rsidRDefault="007E5C29" w:rsidP="005A7AFB">
      <w:r w:rsidRPr="00C9762A">
        <w:tab/>
        <w:t>1.1.  Reports shall be filed for all gas processing plants or facilities to account for the receipt, processing, and disposition of all gas by the plant.</w:t>
      </w:r>
    </w:p>
    <w:p w14:paraId="7933DEF3" w14:textId="77777777" w:rsidR="007E5C29" w:rsidRPr="00C9762A" w:rsidRDefault="007E5C29" w:rsidP="005A7AFB">
      <w:r w:rsidRPr="00C9762A">
        <w:tab/>
        <w:t>1.2.  Plant operators that are required by contractual arrangements to allocate the residue gas and extracted liquids processed by the plant or facility to the individual producing wells, shall identify each well or entity connected to the plant or facility by API number and report the metered wet gas volumes, residue gas volumes returned to the field, and all allocated residue gas and natural gas liquid volumes.</w:t>
      </w:r>
    </w:p>
    <w:p w14:paraId="2D71DA18" w14:textId="77777777" w:rsidR="006E6EA2" w:rsidRPr="00C9762A" w:rsidRDefault="006E6EA2" w:rsidP="006E6EA2">
      <w:pPr>
        <w:rPr>
          <w:rFonts w:eastAsia="Times New Roman"/>
        </w:rPr>
      </w:pPr>
    </w:p>
    <w:p w14:paraId="03C88BD6" w14:textId="77777777" w:rsidR="006E6EA2" w:rsidRPr="00C9762A" w:rsidRDefault="006E6EA2" w:rsidP="006E6EA2">
      <w:pPr>
        <w:rPr>
          <w:rFonts w:eastAsia="Times New Roman"/>
        </w:rPr>
      </w:pPr>
      <w:r w:rsidRPr="00C9762A">
        <w:rPr>
          <w:rFonts w:eastAsia="Times New Roman"/>
          <w:b/>
          <w:bCs/>
        </w:rPr>
        <w:t>KEY:  oil and gas law</w:t>
      </w:r>
    </w:p>
    <w:p w14:paraId="3FA93E4D" w14:textId="195C18BB" w:rsidR="006E6EA2" w:rsidRPr="00C9762A" w:rsidRDefault="006E6EA2" w:rsidP="006E6EA2">
      <w:pPr>
        <w:rPr>
          <w:rFonts w:eastAsia="Times New Roman"/>
        </w:rPr>
      </w:pPr>
      <w:r w:rsidRPr="00C9762A">
        <w:rPr>
          <w:rFonts w:eastAsia="Times New Roman"/>
          <w:b/>
          <w:bCs/>
        </w:rPr>
        <w:t>Date of Last Change:  July 31, 2025</w:t>
      </w:r>
    </w:p>
    <w:p w14:paraId="5AC7D43B" w14:textId="09C95ABD" w:rsidR="006E6EA2" w:rsidRPr="00C9762A" w:rsidRDefault="006E6EA2" w:rsidP="006E6EA2">
      <w:pPr>
        <w:rPr>
          <w:rFonts w:eastAsia="Times New Roman"/>
        </w:rPr>
      </w:pPr>
      <w:r w:rsidRPr="00C9762A">
        <w:rPr>
          <w:rFonts w:eastAsia="Times New Roman"/>
          <w:b/>
          <w:bCs/>
        </w:rPr>
        <w:t xml:space="preserve">Notice of Continuation:  </w:t>
      </w:r>
      <w:r w:rsidR="00721A83" w:rsidRPr="00C9762A">
        <w:rPr>
          <w:rFonts w:eastAsia="Times New Roman"/>
          <w:b/>
          <w:bCs/>
        </w:rPr>
        <w:t>June 30, 2025</w:t>
      </w:r>
    </w:p>
    <w:p w14:paraId="3F25C77B" w14:textId="77777777" w:rsidR="006E6EA2" w:rsidRPr="00C9762A" w:rsidRDefault="006E6EA2" w:rsidP="006E6EA2">
      <w:pPr>
        <w:rPr>
          <w:rFonts w:eastAsia="Times New Roman"/>
        </w:rPr>
      </w:pPr>
      <w:r w:rsidRPr="00C9762A">
        <w:rPr>
          <w:rFonts w:eastAsia="Times New Roman"/>
          <w:b/>
          <w:bCs/>
        </w:rPr>
        <w:t>Authorizing, and Implemented or Interpreted Law:  40-6-1 et seq</w:t>
      </w:r>
    </w:p>
    <w:p w14:paraId="276290AD" w14:textId="77777777" w:rsidR="006E6EA2" w:rsidRPr="00C9762A" w:rsidRDefault="006E6EA2" w:rsidP="006E6EA2">
      <w:pPr>
        <w:rPr>
          <w:rFonts w:eastAsia="Times New Roman"/>
        </w:rPr>
      </w:pPr>
    </w:p>
    <w:p w14:paraId="6A4AA36E" w14:textId="60692642" w:rsidR="007E5C29" w:rsidRPr="00C9762A" w:rsidRDefault="007E5C29" w:rsidP="006E6EA2">
      <w:pPr>
        <w:rPr>
          <w:rFonts w:eastAsia="Times New Roman"/>
        </w:rPr>
      </w:pPr>
    </w:p>
    <w:sectPr w:rsidR="007E5C29" w:rsidRPr="00C9762A" w:rsidSect="00C9762A">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B1E4C" w14:textId="77777777" w:rsidR="0037699C" w:rsidRDefault="0037699C">
      <w:pPr>
        <w:spacing w:line="20" w:lineRule="exact"/>
      </w:pPr>
    </w:p>
  </w:endnote>
  <w:endnote w:type="continuationSeparator" w:id="0">
    <w:p w14:paraId="765DF0EF" w14:textId="77777777" w:rsidR="0037699C" w:rsidRDefault="0037699C" w:rsidP="007E5C29">
      <w:r>
        <w:t xml:space="preserve"> </w:t>
      </w:r>
    </w:p>
  </w:endnote>
  <w:endnote w:type="continuationNotice" w:id="1">
    <w:p w14:paraId="146AFF2C" w14:textId="77777777" w:rsidR="0037699C" w:rsidRDefault="0037699C" w:rsidP="007E5C2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79D92" w14:textId="77777777" w:rsidR="0037699C" w:rsidRDefault="0037699C" w:rsidP="007E5C29">
      <w:r>
        <w:separator/>
      </w:r>
    </w:p>
  </w:footnote>
  <w:footnote w:type="continuationSeparator" w:id="0">
    <w:p w14:paraId="59B2DBC1" w14:textId="77777777" w:rsidR="0037699C" w:rsidRDefault="0037699C" w:rsidP="007E5C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43201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9"/>
    <w:rsid w:val="001C1DA4"/>
    <w:rsid w:val="00200AFD"/>
    <w:rsid w:val="0037699C"/>
    <w:rsid w:val="005A7AFB"/>
    <w:rsid w:val="005C34CE"/>
    <w:rsid w:val="006510EA"/>
    <w:rsid w:val="006746F8"/>
    <w:rsid w:val="006E6EA2"/>
    <w:rsid w:val="00721A83"/>
    <w:rsid w:val="007E5C29"/>
    <w:rsid w:val="00B92B20"/>
    <w:rsid w:val="00B97798"/>
    <w:rsid w:val="00C40588"/>
    <w:rsid w:val="00C9762A"/>
    <w:rsid w:val="00CB2C8B"/>
    <w:rsid w:val="00D32E05"/>
    <w:rsid w:val="00D94A2E"/>
    <w:rsid w:val="00D94D7C"/>
    <w:rsid w:val="00F66C01"/>
    <w:rsid w:val="00F67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B207D1"/>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locked/>
    <w:rsid w:val="007E5C29"/>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locked/>
    <w:rsid w:val="007E5C29"/>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1022</Characters>
  <Application>Microsoft Office Word</Application>
  <DocSecurity>0</DocSecurity>
  <Lines>8</Lines>
  <Paragraphs>2</Paragraphs>
  <ScaleCrop>false</ScaleCrop>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3</cp:revision>
  <dcterms:created xsi:type="dcterms:W3CDTF">2025-08-01T20:24:00Z</dcterms:created>
  <dcterms:modified xsi:type="dcterms:W3CDTF">2025-08-01T20:24:00Z</dcterms:modified>
</cp:coreProperties>
</file>