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97282" w14:textId="77777777" w:rsidR="000849D0" w:rsidRPr="00E237BF" w:rsidRDefault="000849D0" w:rsidP="000849D0">
      <w:pPr>
        <w:widowControl/>
        <w:suppressAutoHyphens/>
        <w:rPr>
          <w:sz w:val="18"/>
        </w:rPr>
      </w:pPr>
      <w:r w:rsidRPr="00E237BF">
        <w:rPr>
          <w:b/>
          <w:sz w:val="18"/>
        </w:rPr>
        <w:t>R940.  Transportation Commission, Administration.</w:t>
      </w:r>
    </w:p>
    <w:p w14:paraId="403AEFB2" w14:textId="77777777" w:rsidR="000849D0" w:rsidRPr="00E237BF" w:rsidRDefault="000849D0" w:rsidP="000849D0">
      <w:pPr>
        <w:widowControl/>
        <w:suppressAutoHyphens/>
        <w:rPr>
          <w:sz w:val="18"/>
        </w:rPr>
      </w:pPr>
      <w:r w:rsidRPr="00E237BF">
        <w:rPr>
          <w:b/>
          <w:sz w:val="18"/>
        </w:rPr>
        <w:t>R940-12.  County of the First Class Infrastructure Bank Fund.</w:t>
      </w:r>
    </w:p>
    <w:p w14:paraId="300A4CEB" w14:textId="77777777" w:rsidR="000849D0" w:rsidRPr="00E237BF" w:rsidRDefault="000849D0" w:rsidP="000849D0">
      <w:pPr>
        <w:widowControl/>
        <w:suppressAutoHyphens/>
        <w:rPr>
          <w:bCs/>
          <w:sz w:val="18"/>
        </w:rPr>
      </w:pPr>
      <w:r w:rsidRPr="00E237BF">
        <w:rPr>
          <w:b/>
          <w:sz w:val="18"/>
        </w:rPr>
        <w:t>R940-12-1.  Authority and Purpose.</w:t>
      </w:r>
    </w:p>
    <w:p w14:paraId="16359144" w14:textId="77777777" w:rsidR="000849D0" w:rsidRPr="00E237BF" w:rsidRDefault="000849D0" w:rsidP="000849D0">
      <w:pPr>
        <w:widowControl/>
        <w:suppressAutoHyphens/>
        <w:rPr>
          <w:bCs/>
          <w:sz w:val="18"/>
        </w:rPr>
      </w:pPr>
      <w:r w:rsidRPr="00E237BF">
        <w:rPr>
          <w:bCs/>
          <w:sz w:val="18"/>
        </w:rPr>
        <w:tab/>
        <w:t>(</w:t>
      </w:r>
      <w:r w:rsidRPr="00E237BF">
        <w:rPr>
          <w:sz w:val="18"/>
          <w:szCs w:val="18"/>
        </w:rPr>
        <w:t>1)</w:t>
      </w:r>
      <w:r w:rsidRPr="00E237BF">
        <w:rPr>
          <w:bCs/>
          <w:sz w:val="18"/>
          <w:szCs w:val="18"/>
        </w:rPr>
        <w:t xml:space="preserve">  </w:t>
      </w:r>
      <w:r w:rsidRPr="00E237BF">
        <w:rPr>
          <w:sz w:val="18"/>
        </w:rPr>
        <w:t>This rule is authorized by Sections 72-2-302 and 72-2-303.</w:t>
      </w:r>
    </w:p>
    <w:p w14:paraId="20129288" w14:textId="77777777" w:rsidR="000849D0" w:rsidRPr="00E237BF" w:rsidRDefault="000849D0" w:rsidP="000849D0">
      <w:pPr>
        <w:widowControl/>
        <w:suppressAutoHyphens/>
        <w:rPr>
          <w:sz w:val="18"/>
        </w:rPr>
      </w:pPr>
      <w:r w:rsidRPr="00E237BF">
        <w:rPr>
          <w:bCs/>
          <w:sz w:val="18"/>
        </w:rPr>
        <w:tab/>
        <w:t>(</w:t>
      </w:r>
      <w:r w:rsidRPr="00E237BF">
        <w:rPr>
          <w:sz w:val="18"/>
          <w:szCs w:val="18"/>
        </w:rPr>
        <w:t>2)</w:t>
      </w:r>
      <w:r w:rsidRPr="00E237BF">
        <w:rPr>
          <w:bCs/>
          <w:sz w:val="18"/>
          <w:szCs w:val="18"/>
        </w:rPr>
        <w:t xml:space="preserve">  </w:t>
      </w:r>
      <w:r w:rsidRPr="00E237BF">
        <w:rPr>
          <w:sz w:val="18"/>
        </w:rPr>
        <w:t>The purpose of this rule is to establish procedures, standards, and a prioritization process the commission will follow to approve infrastructure loans and infrastructure assistance through the County of the First Class Infrastructure Bank Fund created by Section 72-2-302.</w:t>
      </w:r>
    </w:p>
    <w:p w14:paraId="038C210F" w14:textId="77777777" w:rsidR="000849D0" w:rsidRPr="00E237BF" w:rsidRDefault="000849D0" w:rsidP="000849D0">
      <w:pPr>
        <w:widowControl/>
        <w:suppressAutoHyphens/>
        <w:rPr>
          <w:sz w:val="18"/>
        </w:rPr>
      </w:pPr>
    </w:p>
    <w:p w14:paraId="31DCF206" w14:textId="77777777" w:rsidR="000849D0" w:rsidRPr="00E237BF" w:rsidRDefault="000849D0" w:rsidP="000849D0">
      <w:pPr>
        <w:widowControl/>
        <w:suppressAutoHyphens/>
        <w:rPr>
          <w:bCs/>
          <w:sz w:val="18"/>
        </w:rPr>
      </w:pPr>
      <w:r w:rsidRPr="00E237BF">
        <w:rPr>
          <w:b/>
          <w:sz w:val="18"/>
        </w:rPr>
        <w:t>R940-12-2.  Definitions.</w:t>
      </w:r>
    </w:p>
    <w:p w14:paraId="043DA527" w14:textId="77777777" w:rsidR="000849D0" w:rsidRPr="00E237BF" w:rsidRDefault="000849D0" w:rsidP="000849D0">
      <w:pPr>
        <w:widowControl/>
        <w:suppressAutoHyphens/>
        <w:rPr>
          <w:bCs/>
          <w:sz w:val="18"/>
        </w:rPr>
      </w:pPr>
      <w:r w:rsidRPr="00E237BF">
        <w:rPr>
          <w:bCs/>
          <w:sz w:val="18"/>
        </w:rPr>
        <w:tab/>
        <w:t>(</w:t>
      </w:r>
      <w:r w:rsidRPr="00E237BF">
        <w:rPr>
          <w:sz w:val="18"/>
          <w:szCs w:val="18"/>
        </w:rPr>
        <w:t>1)</w:t>
      </w:r>
      <w:r w:rsidRPr="00E237BF">
        <w:rPr>
          <w:bCs/>
          <w:sz w:val="18"/>
          <w:szCs w:val="18"/>
        </w:rPr>
        <w:t xml:space="preserve">  </w:t>
      </w:r>
      <w:r w:rsidRPr="00E237BF">
        <w:rPr>
          <w:sz w:val="18"/>
        </w:rPr>
        <w:t>The definitions in Section 72-2-301 apply to this rule.</w:t>
      </w:r>
    </w:p>
    <w:p w14:paraId="4BF57BE5" w14:textId="77777777" w:rsidR="000849D0" w:rsidRPr="00E237BF" w:rsidRDefault="000849D0" w:rsidP="000849D0">
      <w:pPr>
        <w:widowControl/>
        <w:suppressAutoHyphens/>
        <w:rPr>
          <w:bCs/>
          <w:sz w:val="18"/>
        </w:rPr>
      </w:pPr>
      <w:r w:rsidRPr="00E237BF">
        <w:rPr>
          <w:bCs/>
          <w:sz w:val="18"/>
        </w:rPr>
        <w:tab/>
        <w:t>(</w:t>
      </w:r>
      <w:r w:rsidRPr="00E237BF">
        <w:rPr>
          <w:sz w:val="18"/>
          <w:szCs w:val="18"/>
        </w:rPr>
        <w:t>2)</w:t>
      </w:r>
      <w:r w:rsidRPr="00E237BF">
        <w:rPr>
          <w:bCs/>
          <w:sz w:val="18"/>
          <w:szCs w:val="18"/>
        </w:rPr>
        <w:t xml:space="preserve">  </w:t>
      </w:r>
      <w:r w:rsidRPr="00E237BF">
        <w:rPr>
          <w:sz w:val="18"/>
        </w:rPr>
        <w:t>In addition:</w:t>
      </w:r>
    </w:p>
    <w:p w14:paraId="239ED8E9" w14:textId="77777777" w:rsidR="000849D0" w:rsidRPr="00E237BF" w:rsidRDefault="000849D0" w:rsidP="000849D0">
      <w:pPr>
        <w:widowControl/>
        <w:suppressAutoHyphens/>
        <w:rPr>
          <w:bCs/>
          <w:sz w:val="18"/>
        </w:rPr>
      </w:pPr>
      <w:r w:rsidRPr="00E237BF">
        <w:rPr>
          <w:bCs/>
          <w:sz w:val="18"/>
        </w:rPr>
        <w:tab/>
        <w:t>(</w:t>
      </w:r>
      <w:r w:rsidRPr="00E237BF">
        <w:rPr>
          <w:sz w:val="18"/>
          <w:szCs w:val="18"/>
        </w:rPr>
        <w:t>a)</w:t>
      </w:r>
      <w:r w:rsidRPr="00E237BF">
        <w:rPr>
          <w:bCs/>
          <w:sz w:val="18"/>
          <w:szCs w:val="18"/>
        </w:rPr>
        <w:t xml:space="preserve">  </w:t>
      </w:r>
      <w:r w:rsidRPr="00E237BF">
        <w:rPr>
          <w:sz w:val="18"/>
        </w:rPr>
        <w:t>"Commission" means the Transportation Commission created by Section 72-1-301.</w:t>
      </w:r>
    </w:p>
    <w:p w14:paraId="1FF41885" w14:textId="77777777" w:rsidR="000849D0" w:rsidRPr="00E237BF" w:rsidRDefault="000849D0" w:rsidP="000849D0">
      <w:pPr>
        <w:widowControl/>
        <w:suppressAutoHyphens/>
        <w:rPr>
          <w:bCs/>
          <w:sz w:val="18"/>
        </w:rPr>
      </w:pPr>
      <w:r w:rsidRPr="00E237BF">
        <w:rPr>
          <w:bCs/>
          <w:sz w:val="18"/>
        </w:rPr>
        <w:tab/>
        <w:t>(</w:t>
      </w:r>
      <w:r w:rsidRPr="00E237BF">
        <w:rPr>
          <w:sz w:val="18"/>
          <w:szCs w:val="18"/>
        </w:rPr>
        <w:t>b)</w:t>
      </w:r>
      <w:r w:rsidRPr="00E237BF">
        <w:rPr>
          <w:bCs/>
          <w:sz w:val="18"/>
          <w:szCs w:val="18"/>
        </w:rPr>
        <w:t xml:space="preserve">  </w:t>
      </w:r>
      <w:r w:rsidRPr="00E237BF">
        <w:rPr>
          <w:sz w:val="18"/>
        </w:rPr>
        <w:t>"Department" means the Department of Transportation created by Section 72-1-201.</w:t>
      </w:r>
    </w:p>
    <w:p w14:paraId="725D70CB" w14:textId="77777777" w:rsidR="000849D0" w:rsidRPr="00E237BF" w:rsidRDefault="000849D0" w:rsidP="000849D0">
      <w:pPr>
        <w:widowControl/>
        <w:suppressAutoHyphens/>
        <w:rPr>
          <w:bCs/>
          <w:sz w:val="18"/>
        </w:rPr>
      </w:pPr>
      <w:r w:rsidRPr="00E237BF">
        <w:rPr>
          <w:bCs/>
          <w:sz w:val="18"/>
        </w:rPr>
        <w:tab/>
        <w:t>(</w:t>
      </w:r>
      <w:r w:rsidRPr="00E237BF">
        <w:rPr>
          <w:sz w:val="18"/>
          <w:szCs w:val="18"/>
        </w:rPr>
        <w:t>c)</w:t>
      </w:r>
      <w:r w:rsidRPr="00E237BF">
        <w:rPr>
          <w:bCs/>
          <w:sz w:val="18"/>
          <w:szCs w:val="18"/>
        </w:rPr>
        <w:t xml:space="preserve">  </w:t>
      </w:r>
      <w:r w:rsidRPr="00E237BF">
        <w:rPr>
          <w:sz w:val="18"/>
        </w:rPr>
        <w:t>"Grant" means an amount of fund money provided to a public entity described in Section 72-2-302.</w:t>
      </w:r>
    </w:p>
    <w:p w14:paraId="05BD0AB8" w14:textId="77777777" w:rsidR="000849D0" w:rsidRPr="00E237BF" w:rsidRDefault="000849D0" w:rsidP="000849D0">
      <w:pPr>
        <w:widowControl/>
        <w:suppressAutoHyphens/>
        <w:rPr>
          <w:bCs/>
          <w:sz w:val="18"/>
        </w:rPr>
      </w:pPr>
      <w:r w:rsidRPr="00E237BF">
        <w:rPr>
          <w:bCs/>
          <w:sz w:val="18"/>
        </w:rPr>
        <w:tab/>
        <w:t>(</w:t>
      </w:r>
      <w:r w:rsidRPr="00E237BF">
        <w:rPr>
          <w:sz w:val="18"/>
          <w:szCs w:val="18"/>
        </w:rPr>
        <w:t>d)</w:t>
      </w:r>
      <w:r w:rsidRPr="00E237BF">
        <w:rPr>
          <w:bCs/>
          <w:sz w:val="18"/>
          <w:szCs w:val="18"/>
        </w:rPr>
        <w:t xml:space="preserve">  </w:t>
      </w:r>
      <w:r w:rsidRPr="00E237BF">
        <w:rPr>
          <w:sz w:val="18"/>
        </w:rPr>
        <w:t>"Project" includes a transportation project or a publicly owned infrastructure project.</w:t>
      </w:r>
    </w:p>
    <w:p w14:paraId="4050E8C5" w14:textId="77777777" w:rsidR="000849D0" w:rsidRPr="00E237BF" w:rsidRDefault="000849D0" w:rsidP="000849D0">
      <w:pPr>
        <w:widowControl/>
        <w:suppressAutoHyphens/>
        <w:rPr>
          <w:sz w:val="18"/>
        </w:rPr>
      </w:pPr>
      <w:r w:rsidRPr="00E237BF">
        <w:rPr>
          <w:bCs/>
          <w:sz w:val="18"/>
        </w:rPr>
        <w:tab/>
        <w:t>(</w:t>
      </w:r>
      <w:r w:rsidRPr="00E237BF">
        <w:rPr>
          <w:sz w:val="18"/>
          <w:szCs w:val="18"/>
        </w:rPr>
        <w:t>e)</w:t>
      </w:r>
      <w:r w:rsidRPr="00E237BF">
        <w:rPr>
          <w:bCs/>
          <w:sz w:val="18"/>
          <w:szCs w:val="18"/>
        </w:rPr>
        <w:t xml:space="preserve">  </w:t>
      </w:r>
      <w:r w:rsidRPr="00E237BF">
        <w:rPr>
          <w:sz w:val="18"/>
        </w:rPr>
        <w:t>"CFCIB" means the County of the First Class Infrastructure Bank Fund created in Section 72-2-302.</w:t>
      </w:r>
    </w:p>
    <w:p w14:paraId="7AFEA2AF" w14:textId="77777777" w:rsidR="000849D0" w:rsidRPr="00E237BF" w:rsidRDefault="000849D0" w:rsidP="000849D0">
      <w:pPr>
        <w:widowControl/>
        <w:suppressAutoHyphens/>
        <w:rPr>
          <w:sz w:val="18"/>
        </w:rPr>
      </w:pPr>
    </w:p>
    <w:p w14:paraId="15B3FA9B" w14:textId="77777777" w:rsidR="000849D0" w:rsidRPr="00E237BF" w:rsidRDefault="000849D0" w:rsidP="000849D0">
      <w:pPr>
        <w:widowControl/>
        <w:suppressAutoHyphens/>
        <w:rPr>
          <w:bCs/>
          <w:sz w:val="18"/>
        </w:rPr>
      </w:pPr>
      <w:r w:rsidRPr="00E237BF">
        <w:rPr>
          <w:b/>
          <w:sz w:val="18"/>
        </w:rPr>
        <w:t>R940-12-3.  Procedures and Standards for an Infrastructure Loan or Assistance from the CFCIB.</w:t>
      </w:r>
    </w:p>
    <w:p w14:paraId="34A1B67F" w14:textId="77777777" w:rsidR="000849D0" w:rsidRPr="00E237BF" w:rsidRDefault="000849D0" w:rsidP="000849D0">
      <w:pPr>
        <w:widowControl/>
        <w:suppressAutoHyphens/>
        <w:rPr>
          <w:bCs/>
          <w:sz w:val="18"/>
        </w:rPr>
      </w:pPr>
      <w:r w:rsidRPr="00E237BF">
        <w:rPr>
          <w:bCs/>
          <w:sz w:val="18"/>
        </w:rPr>
        <w:tab/>
        <w:t>(</w:t>
      </w:r>
      <w:r w:rsidRPr="00E237BF">
        <w:rPr>
          <w:sz w:val="18"/>
          <w:szCs w:val="18"/>
        </w:rPr>
        <w:t>1)</w:t>
      </w:r>
      <w:r w:rsidRPr="00E237BF">
        <w:rPr>
          <w:bCs/>
          <w:sz w:val="18"/>
          <w:szCs w:val="18"/>
        </w:rPr>
        <w:t xml:space="preserve">  </w:t>
      </w:r>
      <w:r w:rsidRPr="00E237BF">
        <w:rPr>
          <w:sz w:val="18"/>
        </w:rPr>
        <w:t>The procedures for an infrastructure loan or assistance from the CFCIB are as follows:</w:t>
      </w:r>
    </w:p>
    <w:p w14:paraId="3AE2E3BA" w14:textId="77777777" w:rsidR="000849D0" w:rsidRPr="00E237BF" w:rsidRDefault="000849D0" w:rsidP="000849D0">
      <w:pPr>
        <w:widowControl/>
        <w:suppressAutoHyphens/>
        <w:rPr>
          <w:bCs/>
          <w:sz w:val="18"/>
        </w:rPr>
      </w:pPr>
      <w:r w:rsidRPr="00E237BF">
        <w:rPr>
          <w:bCs/>
          <w:sz w:val="18"/>
        </w:rPr>
        <w:tab/>
        <w:t>(</w:t>
      </w:r>
      <w:r w:rsidRPr="00E237BF">
        <w:rPr>
          <w:sz w:val="18"/>
          <w:szCs w:val="18"/>
        </w:rPr>
        <w:t>a)</w:t>
      </w:r>
      <w:r w:rsidRPr="00E237BF">
        <w:rPr>
          <w:bCs/>
          <w:sz w:val="18"/>
          <w:szCs w:val="18"/>
        </w:rPr>
        <w:t xml:space="preserve">  </w:t>
      </w:r>
      <w:r w:rsidRPr="00E237BF">
        <w:rPr>
          <w:sz w:val="18"/>
        </w:rPr>
        <w:t>Under Title 72, Chapter 2, Part 3, County of the First Class Infrastructure Bank Fund, and this rule, a public entity is eligible to apply for and receive an infrastructure loan or assistance through the CFCIB.</w:t>
      </w:r>
    </w:p>
    <w:p w14:paraId="2D473C40" w14:textId="77777777" w:rsidR="000849D0" w:rsidRPr="00E237BF" w:rsidRDefault="000849D0" w:rsidP="000849D0">
      <w:pPr>
        <w:widowControl/>
        <w:suppressAutoHyphens/>
        <w:rPr>
          <w:bCs/>
          <w:sz w:val="18"/>
        </w:rPr>
      </w:pPr>
      <w:r w:rsidRPr="00E237BF">
        <w:rPr>
          <w:bCs/>
          <w:sz w:val="18"/>
        </w:rPr>
        <w:tab/>
        <w:t>(</w:t>
      </w:r>
      <w:r w:rsidRPr="00E237BF">
        <w:rPr>
          <w:sz w:val="18"/>
          <w:szCs w:val="18"/>
        </w:rPr>
        <w:t>b)</w:t>
      </w:r>
      <w:r w:rsidRPr="00E237BF">
        <w:rPr>
          <w:bCs/>
          <w:sz w:val="18"/>
          <w:szCs w:val="18"/>
        </w:rPr>
        <w:t xml:space="preserve">  </w:t>
      </w:r>
      <w:r w:rsidRPr="00E237BF">
        <w:rPr>
          <w:sz w:val="18"/>
        </w:rPr>
        <w:t>A public entity must request an infrastructure loan or assistance using an application form provided by the department.</w:t>
      </w:r>
    </w:p>
    <w:p w14:paraId="20DF2963" w14:textId="77777777" w:rsidR="000849D0" w:rsidRPr="00E237BF" w:rsidRDefault="000849D0" w:rsidP="000849D0">
      <w:pPr>
        <w:widowControl/>
        <w:suppressAutoHyphens/>
        <w:rPr>
          <w:bCs/>
          <w:sz w:val="18"/>
        </w:rPr>
      </w:pPr>
      <w:r w:rsidRPr="00E237BF">
        <w:rPr>
          <w:bCs/>
          <w:sz w:val="18"/>
        </w:rPr>
        <w:tab/>
        <w:t>(</w:t>
      </w:r>
      <w:r w:rsidRPr="00E237BF">
        <w:rPr>
          <w:sz w:val="18"/>
          <w:szCs w:val="18"/>
        </w:rPr>
        <w:t>c)</w:t>
      </w:r>
      <w:r w:rsidRPr="00E237BF">
        <w:rPr>
          <w:bCs/>
          <w:sz w:val="18"/>
          <w:szCs w:val="18"/>
        </w:rPr>
        <w:t xml:space="preserve">  </w:t>
      </w:r>
      <w:r w:rsidRPr="00E237BF">
        <w:rPr>
          <w:sz w:val="18"/>
        </w:rPr>
        <w:t>The public entity must complete and submit the application according to the application instructions.</w:t>
      </w:r>
    </w:p>
    <w:p w14:paraId="2C436F0B" w14:textId="77777777" w:rsidR="000849D0" w:rsidRPr="00E237BF" w:rsidRDefault="000849D0" w:rsidP="000849D0">
      <w:pPr>
        <w:widowControl/>
        <w:suppressAutoHyphens/>
        <w:rPr>
          <w:bCs/>
          <w:sz w:val="18"/>
        </w:rPr>
      </w:pPr>
      <w:r w:rsidRPr="00E237BF">
        <w:rPr>
          <w:bCs/>
          <w:sz w:val="18"/>
        </w:rPr>
        <w:tab/>
        <w:t>(</w:t>
      </w:r>
      <w:r w:rsidRPr="00E237BF">
        <w:rPr>
          <w:sz w:val="18"/>
          <w:szCs w:val="18"/>
        </w:rPr>
        <w:t>d)</w:t>
      </w:r>
      <w:r w:rsidRPr="00E237BF">
        <w:rPr>
          <w:bCs/>
          <w:sz w:val="18"/>
          <w:szCs w:val="18"/>
        </w:rPr>
        <w:t xml:space="preserve">  </w:t>
      </w:r>
      <w:r w:rsidRPr="00E237BF">
        <w:rPr>
          <w:sz w:val="18"/>
        </w:rPr>
        <w:t>The public entity must state clearly if it is applying for an infrastructure loan or assistance.</w:t>
      </w:r>
    </w:p>
    <w:p w14:paraId="3207B5B0" w14:textId="77777777" w:rsidR="000849D0" w:rsidRPr="00E237BF" w:rsidRDefault="000849D0" w:rsidP="000849D0">
      <w:pPr>
        <w:widowControl/>
        <w:suppressAutoHyphens/>
        <w:rPr>
          <w:bCs/>
          <w:sz w:val="18"/>
        </w:rPr>
      </w:pPr>
      <w:r w:rsidRPr="00E237BF">
        <w:rPr>
          <w:bCs/>
          <w:sz w:val="18"/>
        </w:rPr>
        <w:tab/>
        <w:t>(</w:t>
      </w:r>
      <w:r w:rsidRPr="00E237BF">
        <w:rPr>
          <w:sz w:val="18"/>
          <w:szCs w:val="18"/>
        </w:rPr>
        <w:t>e)</w:t>
      </w:r>
      <w:r w:rsidRPr="00E237BF">
        <w:rPr>
          <w:bCs/>
          <w:sz w:val="18"/>
          <w:szCs w:val="18"/>
        </w:rPr>
        <w:t xml:space="preserve">  </w:t>
      </w:r>
      <w:r w:rsidRPr="00E237BF">
        <w:rPr>
          <w:sz w:val="18"/>
        </w:rPr>
        <w:t>The application form with instructions is available on the department's website at https://www.udot.utah.gov/connect/business/public-entities/sib/.</w:t>
      </w:r>
    </w:p>
    <w:p w14:paraId="6CD1FFB8" w14:textId="77777777" w:rsidR="000849D0" w:rsidRPr="00E237BF" w:rsidRDefault="000849D0" w:rsidP="000849D0">
      <w:pPr>
        <w:widowControl/>
        <w:suppressAutoHyphens/>
        <w:rPr>
          <w:bCs/>
          <w:sz w:val="18"/>
        </w:rPr>
      </w:pPr>
      <w:r w:rsidRPr="00E237BF">
        <w:rPr>
          <w:bCs/>
          <w:sz w:val="18"/>
        </w:rPr>
        <w:tab/>
        <w:t>(</w:t>
      </w:r>
      <w:r w:rsidRPr="00E237BF">
        <w:rPr>
          <w:sz w:val="18"/>
          <w:szCs w:val="18"/>
        </w:rPr>
        <w:t>2)</w:t>
      </w:r>
      <w:r w:rsidRPr="00E237BF">
        <w:rPr>
          <w:bCs/>
          <w:sz w:val="18"/>
          <w:szCs w:val="18"/>
        </w:rPr>
        <w:t xml:space="preserve">  </w:t>
      </w:r>
      <w:r w:rsidRPr="00E237BF">
        <w:rPr>
          <w:sz w:val="18"/>
        </w:rPr>
        <w:t>The standards for an infrastructure loan or assistance from the CFCIB are as follows:</w:t>
      </w:r>
    </w:p>
    <w:p w14:paraId="4F4C2D6E" w14:textId="77777777" w:rsidR="000849D0" w:rsidRPr="00E237BF" w:rsidRDefault="000849D0" w:rsidP="000849D0">
      <w:pPr>
        <w:widowControl/>
        <w:suppressAutoHyphens/>
        <w:rPr>
          <w:bCs/>
          <w:sz w:val="18"/>
        </w:rPr>
      </w:pPr>
      <w:r w:rsidRPr="00E237BF">
        <w:rPr>
          <w:bCs/>
          <w:sz w:val="18"/>
        </w:rPr>
        <w:tab/>
        <w:t>(</w:t>
      </w:r>
      <w:r w:rsidRPr="00E237BF">
        <w:rPr>
          <w:sz w:val="18"/>
          <w:szCs w:val="18"/>
        </w:rPr>
        <w:t>a)</w:t>
      </w:r>
      <w:r w:rsidRPr="00E237BF">
        <w:rPr>
          <w:bCs/>
          <w:sz w:val="18"/>
          <w:szCs w:val="18"/>
        </w:rPr>
        <w:t xml:space="preserve">  </w:t>
      </w:r>
      <w:r w:rsidRPr="00E237BF">
        <w:rPr>
          <w:sz w:val="18"/>
        </w:rPr>
        <w:t>An infrastructure loan from the CFCIB fund must bear interest at or above the market interest rate available to the state.</w:t>
      </w:r>
    </w:p>
    <w:p w14:paraId="3877AAE8" w14:textId="77777777" w:rsidR="000849D0" w:rsidRPr="00E237BF" w:rsidRDefault="000849D0" w:rsidP="000849D0">
      <w:pPr>
        <w:widowControl/>
        <w:suppressAutoHyphens/>
        <w:rPr>
          <w:bCs/>
          <w:sz w:val="18"/>
        </w:rPr>
      </w:pPr>
      <w:r w:rsidRPr="00E237BF">
        <w:rPr>
          <w:bCs/>
          <w:sz w:val="18"/>
        </w:rPr>
        <w:tab/>
        <w:t>(</w:t>
      </w:r>
      <w:r w:rsidRPr="00E237BF">
        <w:rPr>
          <w:sz w:val="18"/>
          <w:szCs w:val="18"/>
        </w:rPr>
        <w:t>b)</w:t>
      </w:r>
      <w:r w:rsidRPr="00E237BF">
        <w:rPr>
          <w:bCs/>
          <w:sz w:val="18"/>
          <w:szCs w:val="18"/>
        </w:rPr>
        <w:t xml:space="preserve">  </w:t>
      </w:r>
      <w:r w:rsidRPr="00E237BF">
        <w:rPr>
          <w:sz w:val="18"/>
        </w:rPr>
        <w:t>The commission will determine the interest rate for an infrastructure loan by adding 0.5% to the rate for AAA Municipal General Obligation Bonds obtained from the state treasurer as of the date of the completed application.</w:t>
      </w:r>
    </w:p>
    <w:p w14:paraId="61E446DE" w14:textId="77777777" w:rsidR="000849D0" w:rsidRPr="00E237BF" w:rsidRDefault="000849D0" w:rsidP="000849D0">
      <w:pPr>
        <w:widowControl/>
        <w:suppressAutoHyphens/>
        <w:rPr>
          <w:bCs/>
          <w:sz w:val="18"/>
        </w:rPr>
      </w:pPr>
      <w:r w:rsidRPr="00E237BF">
        <w:rPr>
          <w:bCs/>
          <w:sz w:val="18"/>
        </w:rPr>
        <w:tab/>
        <w:t>(</w:t>
      </w:r>
      <w:r w:rsidRPr="00E237BF">
        <w:rPr>
          <w:sz w:val="18"/>
          <w:szCs w:val="18"/>
        </w:rPr>
        <w:t>c)</w:t>
      </w:r>
      <w:r w:rsidRPr="00E237BF">
        <w:rPr>
          <w:bCs/>
          <w:sz w:val="18"/>
          <w:szCs w:val="18"/>
        </w:rPr>
        <w:t xml:space="preserve">  </w:t>
      </w:r>
      <w:r w:rsidRPr="00E237BF">
        <w:rPr>
          <w:sz w:val="18"/>
        </w:rPr>
        <w:t>The public entity must begin repaying the infrastructure loan no later than the completion date of the project or the date the public entity opens the facility to traffic in the case of a highway project. Interest will accrue during the period between loan closing and the agreed-upon estimated project completion date and will be capitalized and added to the loan's principal balance.</w:t>
      </w:r>
    </w:p>
    <w:p w14:paraId="0D7FA285" w14:textId="77777777" w:rsidR="000849D0" w:rsidRPr="00E237BF" w:rsidRDefault="000849D0" w:rsidP="000849D0">
      <w:pPr>
        <w:widowControl/>
        <w:suppressAutoHyphens/>
        <w:rPr>
          <w:bCs/>
          <w:sz w:val="18"/>
        </w:rPr>
      </w:pPr>
      <w:r w:rsidRPr="00E237BF">
        <w:rPr>
          <w:bCs/>
          <w:sz w:val="18"/>
        </w:rPr>
        <w:tab/>
        <w:t>(</w:t>
      </w:r>
      <w:r w:rsidRPr="00E237BF">
        <w:rPr>
          <w:sz w:val="18"/>
          <w:szCs w:val="18"/>
        </w:rPr>
        <w:t>d)</w:t>
      </w:r>
      <w:r w:rsidRPr="00E237BF">
        <w:rPr>
          <w:bCs/>
          <w:sz w:val="18"/>
          <w:szCs w:val="18"/>
        </w:rPr>
        <w:t xml:space="preserve">  </w:t>
      </w:r>
      <w:r w:rsidRPr="00E237BF">
        <w:rPr>
          <w:sz w:val="18"/>
        </w:rPr>
        <w:t>The repayment period for an infrastructure loan may not exceed the term identified in Title 72, Chapter 2, Part 3, County of the First Class Infrastructure Bank Fund.</w:t>
      </w:r>
    </w:p>
    <w:p w14:paraId="748A830F" w14:textId="77777777" w:rsidR="000849D0" w:rsidRPr="00E237BF" w:rsidRDefault="000849D0" w:rsidP="000849D0">
      <w:pPr>
        <w:widowControl/>
        <w:suppressAutoHyphens/>
        <w:rPr>
          <w:bCs/>
          <w:sz w:val="18"/>
        </w:rPr>
      </w:pPr>
      <w:r w:rsidRPr="00E237BF">
        <w:rPr>
          <w:bCs/>
          <w:sz w:val="18"/>
        </w:rPr>
        <w:tab/>
        <w:t>(</w:t>
      </w:r>
      <w:r w:rsidRPr="00E237BF">
        <w:rPr>
          <w:sz w:val="18"/>
          <w:szCs w:val="18"/>
        </w:rPr>
        <w:t>e)</w:t>
      </w:r>
      <w:r w:rsidRPr="00E237BF">
        <w:rPr>
          <w:bCs/>
          <w:sz w:val="18"/>
          <w:szCs w:val="18"/>
        </w:rPr>
        <w:t xml:space="preserve">  </w:t>
      </w:r>
      <w:r w:rsidRPr="00E237BF">
        <w:rPr>
          <w:sz w:val="18"/>
        </w:rPr>
        <w:t>Loan documents must state the execution date and repayment deadline date for the infrastructure loan.</w:t>
      </w:r>
    </w:p>
    <w:p w14:paraId="00D2BFE1" w14:textId="77777777" w:rsidR="000849D0" w:rsidRPr="00E237BF" w:rsidRDefault="000849D0" w:rsidP="000849D0">
      <w:pPr>
        <w:widowControl/>
        <w:suppressAutoHyphens/>
        <w:rPr>
          <w:bCs/>
          <w:sz w:val="18"/>
        </w:rPr>
      </w:pPr>
      <w:r w:rsidRPr="00E237BF">
        <w:rPr>
          <w:bCs/>
          <w:sz w:val="18"/>
        </w:rPr>
        <w:tab/>
        <w:t>(</w:t>
      </w:r>
      <w:r w:rsidRPr="00E237BF">
        <w:rPr>
          <w:sz w:val="18"/>
          <w:szCs w:val="18"/>
        </w:rPr>
        <w:t>f)</w:t>
      </w:r>
      <w:r w:rsidRPr="00E237BF">
        <w:rPr>
          <w:bCs/>
          <w:sz w:val="18"/>
          <w:szCs w:val="18"/>
        </w:rPr>
        <w:t xml:space="preserve">  </w:t>
      </w:r>
      <w:r w:rsidRPr="00E237BF">
        <w:rPr>
          <w:sz w:val="18"/>
        </w:rPr>
        <w:t>The public entity may pledge any of a revenue source controlled by the public entity to repay the loan.</w:t>
      </w:r>
    </w:p>
    <w:p w14:paraId="3017BDBB" w14:textId="77777777" w:rsidR="000849D0" w:rsidRPr="00E237BF" w:rsidRDefault="000849D0" w:rsidP="000849D0">
      <w:pPr>
        <w:widowControl/>
        <w:suppressAutoHyphens/>
        <w:rPr>
          <w:bCs/>
          <w:sz w:val="18"/>
        </w:rPr>
      </w:pPr>
      <w:r w:rsidRPr="00E237BF">
        <w:rPr>
          <w:bCs/>
          <w:sz w:val="18"/>
        </w:rPr>
        <w:tab/>
        <w:t>(</w:t>
      </w:r>
      <w:r w:rsidRPr="00E237BF">
        <w:rPr>
          <w:sz w:val="18"/>
          <w:szCs w:val="18"/>
        </w:rPr>
        <w:t>g)</w:t>
      </w:r>
      <w:r w:rsidRPr="00E237BF">
        <w:rPr>
          <w:bCs/>
          <w:sz w:val="18"/>
          <w:szCs w:val="18"/>
        </w:rPr>
        <w:t xml:space="preserve">  </w:t>
      </w:r>
      <w:r w:rsidRPr="00E237BF">
        <w:rPr>
          <w:sz w:val="18"/>
        </w:rPr>
        <w:t>The public entity must repay loans in monthly, quarterly, or yearly installments.</w:t>
      </w:r>
    </w:p>
    <w:p w14:paraId="19D6821C" w14:textId="77777777" w:rsidR="000849D0" w:rsidRPr="00E237BF" w:rsidRDefault="000849D0" w:rsidP="000849D0">
      <w:pPr>
        <w:widowControl/>
        <w:suppressAutoHyphens/>
        <w:rPr>
          <w:sz w:val="18"/>
        </w:rPr>
      </w:pPr>
      <w:r w:rsidRPr="00E237BF">
        <w:rPr>
          <w:bCs/>
          <w:sz w:val="18"/>
        </w:rPr>
        <w:tab/>
        <w:t>(</w:t>
      </w:r>
      <w:r w:rsidRPr="00E237BF">
        <w:rPr>
          <w:sz w:val="18"/>
          <w:szCs w:val="18"/>
        </w:rPr>
        <w:t>h)</w:t>
      </w:r>
      <w:r w:rsidRPr="00E237BF">
        <w:rPr>
          <w:bCs/>
          <w:sz w:val="18"/>
          <w:szCs w:val="18"/>
        </w:rPr>
        <w:t xml:space="preserve">  </w:t>
      </w:r>
      <w:r w:rsidRPr="00E237BF">
        <w:rPr>
          <w:sz w:val="18"/>
        </w:rPr>
        <w:t>If the applicant does not fully execute the infrastructure assistance or loan within 180 days of the date the commission approves the application, the application will expire unless the applicant requests and the commission approves a continuation of the terms. Continuations are limited to a maximum of 180 days each.</w:t>
      </w:r>
    </w:p>
    <w:p w14:paraId="554A1C9D" w14:textId="77777777" w:rsidR="000849D0" w:rsidRPr="00E237BF" w:rsidRDefault="000849D0" w:rsidP="000849D0">
      <w:pPr>
        <w:widowControl/>
        <w:suppressAutoHyphens/>
        <w:contextualSpacing/>
        <w:rPr>
          <w:sz w:val="18"/>
        </w:rPr>
      </w:pPr>
      <w:r w:rsidRPr="00E237BF">
        <w:rPr>
          <w:sz w:val="18"/>
        </w:rPr>
        <w:tab/>
        <w:t>(3)(a)  Before providing an infrastructure loan or assistance through application as provided in this section, the department shall use money in the fund to provide the loans and grants described in Section 72-2-302.</w:t>
      </w:r>
    </w:p>
    <w:p w14:paraId="17388A38" w14:textId="77777777" w:rsidR="000849D0" w:rsidRPr="00E237BF" w:rsidRDefault="000849D0" w:rsidP="000849D0">
      <w:pPr>
        <w:widowControl/>
        <w:suppressAutoHyphens/>
        <w:contextualSpacing/>
        <w:rPr>
          <w:sz w:val="18"/>
        </w:rPr>
      </w:pPr>
      <w:r w:rsidRPr="00E237BF">
        <w:rPr>
          <w:sz w:val="18"/>
        </w:rPr>
        <w:tab/>
        <w:t>(b)  The department shall keep infrastructure loan repayments in a separate account and shall disburse them according to Section 72-2-306.</w:t>
      </w:r>
    </w:p>
    <w:p w14:paraId="6F1B3399" w14:textId="77777777" w:rsidR="000849D0" w:rsidRPr="00E237BF" w:rsidRDefault="000849D0" w:rsidP="000849D0">
      <w:pPr>
        <w:widowControl/>
        <w:suppressAutoHyphens/>
        <w:contextualSpacing/>
        <w:rPr>
          <w:sz w:val="18"/>
        </w:rPr>
      </w:pPr>
      <w:r w:rsidRPr="00E237BF">
        <w:rPr>
          <w:sz w:val="18"/>
        </w:rPr>
        <w:tab/>
        <w:t>(c)  Unless otherwise provided by state law, a public entity is not required to pay back a grant.</w:t>
      </w:r>
    </w:p>
    <w:p w14:paraId="019769B3" w14:textId="77777777" w:rsidR="000849D0" w:rsidRPr="00E237BF" w:rsidRDefault="000849D0" w:rsidP="000849D0">
      <w:pPr>
        <w:widowControl/>
        <w:suppressAutoHyphens/>
        <w:contextualSpacing/>
        <w:rPr>
          <w:sz w:val="18"/>
        </w:rPr>
      </w:pPr>
    </w:p>
    <w:p w14:paraId="28BEA7E9" w14:textId="77777777" w:rsidR="000849D0" w:rsidRPr="00E237BF" w:rsidRDefault="000849D0" w:rsidP="000849D0">
      <w:pPr>
        <w:widowControl/>
        <w:suppressAutoHyphens/>
        <w:rPr>
          <w:bCs/>
          <w:sz w:val="18"/>
        </w:rPr>
      </w:pPr>
      <w:r w:rsidRPr="00E237BF">
        <w:rPr>
          <w:b/>
          <w:sz w:val="18"/>
        </w:rPr>
        <w:t>R940-12-4.  Prioritizing Requests for an Infrastructure Loan or Infrastructure Assistance</w:t>
      </w:r>
      <w:r w:rsidRPr="00E237BF">
        <w:rPr>
          <w:b/>
          <w:bCs/>
          <w:sz w:val="18"/>
        </w:rPr>
        <w:t>.</w:t>
      </w:r>
    </w:p>
    <w:p w14:paraId="353C4BBF" w14:textId="77777777" w:rsidR="000849D0" w:rsidRPr="00E237BF" w:rsidRDefault="000849D0" w:rsidP="000849D0">
      <w:pPr>
        <w:widowControl/>
        <w:suppressAutoHyphens/>
        <w:rPr>
          <w:bCs/>
          <w:sz w:val="18"/>
        </w:rPr>
      </w:pPr>
      <w:r w:rsidRPr="00E237BF">
        <w:rPr>
          <w:bCs/>
          <w:sz w:val="18"/>
        </w:rPr>
        <w:tab/>
        <w:t>(</w:t>
      </w:r>
      <w:r w:rsidRPr="00E237BF">
        <w:rPr>
          <w:sz w:val="18"/>
          <w:szCs w:val="18"/>
        </w:rPr>
        <w:t>1)</w:t>
      </w:r>
      <w:r w:rsidRPr="00E237BF">
        <w:rPr>
          <w:bCs/>
          <w:sz w:val="18"/>
          <w:szCs w:val="18"/>
        </w:rPr>
        <w:t xml:space="preserve">  </w:t>
      </w:r>
      <w:r w:rsidRPr="00E237BF">
        <w:rPr>
          <w:sz w:val="18"/>
        </w:rPr>
        <w:t>The commission will follow a prioritization framework to evaluate and prioritize requests for an infrastructure loan or assistance.</w:t>
      </w:r>
    </w:p>
    <w:p w14:paraId="6532A2E8" w14:textId="77777777" w:rsidR="000849D0" w:rsidRPr="00E237BF" w:rsidRDefault="000849D0" w:rsidP="000849D0">
      <w:pPr>
        <w:widowControl/>
        <w:suppressAutoHyphens/>
        <w:rPr>
          <w:bCs/>
          <w:sz w:val="18"/>
        </w:rPr>
      </w:pPr>
      <w:r w:rsidRPr="00E237BF">
        <w:rPr>
          <w:bCs/>
          <w:sz w:val="18"/>
        </w:rPr>
        <w:tab/>
        <w:t>(</w:t>
      </w:r>
      <w:r w:rsidRPr="00E237BF">
        <w:rPr>
          <w:sz w:val="18"/>
          <w:szCs w:val="18"/>
        </w:rPr>
        <w:t>2)</w:t>
      </w:r>
      <w:r w:rsidRPr="00E237BF">
        <w:rPr>
          <w:bCs/>
          <w:sz w:val="18"/>
          <w:szCs w:val="18"/>
        </w:rPr>
        <w:t xml:space="preserve">  </w:t>
      </w:r>
      <w:r w:rsidRPr="00E237BF">
        <w:rPr>
          <w:sz w:val="18"/>
        </w:rPr>
        <w:t>Using the prioritization framework, the commission will score each qualified project.</w:t>
      </w:r>
    </w:p>
    <w:p w14:paraId="62A08F89" w14:textId="77777777" w:rsidR="000849D0" w:rsidRPr="00E237BF" w:rsidRDefault="000849D0" w:rsidP="000849D0">
      <w:pPr>
        <w:widowControl/>
        <w:suppressAutoHyphens/>
        <w:rPr>
          <w:sz w:val="18"/>
        </w:rPr>
      </w:pPr>
      <w:r w:rsidRPr="00E237BF">
        <w:rPr>
          <w:bCs/>
          <w:sz w:val="18"/>
        </w:rPr>
        <w:tab/>
        <w:t>(</w:t>
      </w:r>
      <w:r w:rsidRPr="00E237BF">
        <w:rPr>
          <w:sz w:val="18"/>
          <w:szCs w:val="18"/>
        </w:rPr>
        <w:t>3)</w:t>
      </w:r>
      <w:r w:rsidRPr="00E237BF">
        <w:rPr>
          <w:bCs/>
          <w:sz w:val="18"/>
          <w:szCs w:val="18"/>
        </w:rPr>
        <w:t xml:space="preserve">  </w:t>
      </w:r>
      <w:r w:rsidRPr="00E237BF">
        <w:rPr>
          <w:sz w:val="18"/>
        </w:rPr>
        <w:t>The department will publish the prioritization framework on the department's website at https://www.udot.utah.gov/connect/business/public-entities/sib/.</w:t>
      </w:r>
    </w:p>
    <w:p w14:paraId="44AF567B" w14:textId="77777777" w:rsidR="000849D0" w:rsidRPr="00E237BF" w:rsidRDefault="000849D0" w:rsidP="000849D0">
      <w:pPr>
        <w:widowControl/>
        <w:suppressAutoHyphens/>
        <w:rPr>
          <w:sz w:val="18"/>
        </w:rPr>
      </w:pPr>
    </w:p>
    <w:p w14:paraId="1595931D" w14:textId="77777777" w:rsidR="000849D0" w:rsidRPr="00E237BF" w:rsidRDefault="000849D0" w:rsidP="000849D0">
      <w:pPr>
        <w:widowControl/>
        <w:suppressAutoHyphens/>
        <w:rPr>
          <w:bCs/>
          <w:sz w:val="18"/>
        </w:rPr>
      </w:pPr>
      <w:r w:rsidRPr="00E237BF">
        <w:rPr>
          <w:b/>
          <w:sz w:val="18"/>
        </w:rPr>
        <w:t>R940-12-5.  Commission Discretion.</w:t>
      </w:r>
    </w:p>
    <w:p w14:paraId="26397EA0" w14:textId="77777777" w:rsidR="000849D0" w:rsidRPr="00E237BF" w:rsidRDefault="000849D0" w:rsidP="000849D0">
      <w:pPr>
        <w:widowControl/>
        <w:suppressAutoHyphens/>
        <w:rPr>
          <w:sz w:val="18"/>
          <w:szCs w:val="18"/>
        </w:rPr>
      </w:pPr>
      <w:r w:rsidRPr="00E237BF">
        <w:rPr>
          <w:bCs/>
          <w:sz w:val="18"/>
          <w:szCs w:val="18"/>
        </w:rPr>
        <w:tab/>
      </w:r>
      <w:r w:rsidRPr="00E237BF">
        <w:rPr>
          <w:sz w:val="18"/>
          <w:szCs w:val="18"/>
        </w:rPr>
        <w:t>The commission may approve a request for an infrastructure loan or assistance ahead of another request with a higher prioritization score for good cause, as determined by the commission during a public meeting.</w:t>
      </w:r>
    </w:p>
    <w:p w14:paraId="06BB97B8" w14:textId="77777777" w:rsidR="000849D0" w:rsidRPr="00E237BF" w:rsidRDefault="000849D0" w:rsidP="000849D0">
      <w:pPr>
        <w:widowControl/>
        <w:suppressAutoHyphens/>
        <w:rPr>
          <w:sz w:val="18"/>
          <w:szCs w:val="18"/>
        </w:rPr>
      </w:pPr>
    </w:p>
    <w:p w14:paraId="65B82E48" w14:textId="77777777" w:rsidR="000849D0" w:rsidRPr="00E237BF" w:rsidRDefault="000849D0" w:rsidP="000849D0">
      <w:pPr>
        <w:widowControl/>
        <w:suppressAutoHyphens/>
        <w:rPr>
          <w:b/>
          <w:sz w:val="18"/>
        </w:rPr>
      </w:pPr>
      <w:r w:rsidRPr="00E237BF">
        <w:rPr>
          <w:b/>
          <w:sz w:val="18"/>
        </w:rPr>
        <w:t>KEY: County of the First Class Bank Fund, CFCIB loan, CFCIB assistance, CFCIB</w:t>
      </w:r>
    </w:p>
    <w:p w14:paraId="65D46216" w14:textId="64F66F88" w:rsidR="000849D0" w:rsidRPr="00E237BF" w:rsidRDefault="000849D0" w:rsidP="000849D0">
      <w:pPr>
        <w:widowControl/>
        <w:suppressAutoHyphens/>
        <w:rPr>
          <w:b/>
          <w:sz w:val="18"/>
        </w:rPr>
      </w:pPr>
      <w:r w:rsidRPr="00E237BF">
        <w:rPr>
          <w:b/>
          <w:sz w:val="18"/>
        </w:rPr>
        <w:lastRenderedPageBreak/>
        <w:t xml:space="preserve">Date of Last Change:  </w:t>
      </w:r>
      <w:r w:rsidR="00915123" w:rsidRPr="00E237BF">
        <w:rPr>
          <w:b/>
          <w:sz w:val="18"/>
        </w:rPr>
        <w:t xml:space="preserve">July 22, </w:t>
      </w:r>
      <w:r w:rsidRPr="00E237BF">
        <w:rPr>
          <w:b/>
          <w:sz w:val="18"/>
        </w:rPr>
        <w:t>2025</w:t>
      </w:r>
    </w:p>
    <w:p w14:paraId="1FC3CF58" w14:textId="77777777" w:rsidR="000849D0" w:rsidRPr="00E237BF" w:rsidRDefault="000849D0" w:rsidP="000849D0">
      <w:pPr>
        <w:widowControl/>
        <w:suppressAutoHyphens/>
        <w:rPr>
          <w:sz w:val="18"/>
        </w:rPr>
      </w:pPr>
      <w:r w:rsidRPr="00E237BF">
        <w:rPr>
          <w:b/>
          <w:sz w:val="18"/>
        </w:rPr>
        <w:t>Authorizing, and Implemented or Interpreted Law: 72-2-303</w:t>
      </w:r>
    </w:p>
    <w:p w14:paraId="35F62548" w14:textId="77777777" w:rsidR="000849D0" w:rsidRPr="00E237BF" w:rsidRDefault="000849D0" w:rsidP="000849D0">
      <w:pPr>
        <w:widowControl/>
        <w:suppressAutoHyphens/>
        <w:rPr>
          <w:sz w:val="18"/>
        </w:rPr>
      </w:pPr>
    </w:p>
    <w:p w14:paraId="378AA1A2" w14:textId="481D2E1D" w:rsidR="00F025E2" w:rsidRPr="00E237BF" w:rsidRDefault="00F025E2" w:rsidP="000849D0">
      <w:pPr>
        <w:widowControl/>
        <w:suppressAutoHyphens/>
        <w:rPr>
          <w:sz w:val="18"/>
        </w:rPr>
      </w:pPr>
    </w:p>
    <w:sectPr w:rsidR="00F025E2" w:rsidRPr="00E237BF" w:rsidSect="00E237BF">
      <w:pgSz w:w="12240" w:h="15840"/>
      <w:pgMar w:top="1440" w:right="1440" w:bottom="1440" w:left="1440" w:header="1440" w:footer="144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7010"/>
    <w:multiLevelType w:val="hybridMultilevel"/>
    <w:tmpl w:val="902A3538"/>
    <w:lvl w:ilvl="0" w:tplc="30E4019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1505CB"/>
    <w:multiLevelType w:val="hybridMultilevel"/>
    <w:tmpl w:val="C77444EE"/>
    <w:lvl w:ilvl="0" w:tplc="C2A25564">
      <w:start w:val="1"/>
      <w:numFmt w:val="decimal"/>
      <w:lvlText w:val="(%1)"/>
      <w:lvlJc w:val="left"/>
      <w:pPr>
        <w:ind w:left="100" w:hanging="30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33940284">
      <w:start w:val="1"/>
      <w:numFmt w:val="lowerLetter"/>
      <w:lvlText w:val="(%2)"/>
      <w:lvlJc w:val="left"/>
      <w:pPr>
        <w:ind w:left="100" w:hanging="29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2" w:tplc="DD440AF0">
      <w:numFmt w:val="bullet"/>
      <w:lvlText w:val="•"/>
      <w:lvlJc w:val="left"/>
      <w:pPr>
        <w:ind w:left="1988" w:hanging="290"/>
      </w:pPr>
      <w:rPr>
        <w:rFonts w:hint="default"/>
        <w:lang w:val="en-US" w:eastAsia="en-US" w:bidi="ar-SA"/>
      </w:rPr>
    </w:lvl>
    <w:lvl w:ilvl="3" w:tplc="E42864F4">
      <w:numFmt w:val="bullet"/>
      <w:lvlText w:val="•"/>
      <w:lvlJc w:val="left"/>
      <w:pPr>
        <w:ind w:left="2932" w:hanging="290"/>
      </w:pPr>
      <w:rPr>
        <w:rFonts w:hint="default"/>
        <w:lang w:val="en-US" w:eastAsia="en-US" w:bidi="ar-SA"/>
      </w:rPr>
    </w:lvl>
    <w:lvl w:ilvl="4" w:tplc="39A0084A">
      <w:numFmt w:val="bullet"/>
      <w:lvlText w:val="•"/>
      <w:lvlJc w:val="left"/>
      <w:pPr>
        <w:ind w:left="3876" w:hanging="290"/>
      </w:pPr>
      <w:rPr>
        <w:rFonts w:hint="default"/>
        <w:lang w:val="en-US" w:eastAsia="en-US" w:bidi="ar-SA"/>
      </w:rPr>
    </w:lvl>
    <w:lvl w:ilvl="5" w:tplc="58A05B8E">
      <w:numFmt w:val="bullet"/>
      <w:lvlText w:val="•"/>
      <w:lvlJc w:val="left"/>
      <w:pPr>
        <w:ind w:left="4820" w:hanging="290"/>
      </w:pPr>
      <w:rPr>
        <w:rFonts w:hint="default"/>
        <w:lang w:val="en-US" w:eastAsia="en-US" w:bidi="ar-SA"/>
      </w:rPr>
    </w:lvl>
    <w:lvl w:ilvl="6" w:tplc="C3BA5CB6">
      <w:numFmt w:val="bullet"/>
      <w:lvlText w:val="•"/>
      <w:lvlJc w:val="left"/>
      <w:pPr>
        <w:ind w:left="5764" w:hanging="290"/>
      </w:pPr>
      <w:rPr>
        <w:rFonts w:hint="default"/>
        <w:lang w:val="en-US" w:eastAsia="en-US" w:bidi="ar-SA"/>
      </w:rPr>
    </w:lvl>
    <w:lvl w:ilvl="7" w:tplc="0B287CBE">
      <w:numFmt w:val="bullet"/>
      <w:lvlText w:val="•"/>
      <w:lvlJc w:val="left"/>
      <w:pPr>
        <w:ind w:left="6708" w:hanging="290"/>
      </w:pPr>
      <w:rPr>
        <w:rFonts w:hint="default"/>
        <w:lang w:val="en-US" w:eastAsia="en-US" w:bidi="ar-SA"/>
      </w:rPr>
    </w:lvl>
    <w:lvl w:ilvl="8" w:tplc="0CFEB802">
      <w:numFmt w:val="bullet"/>
      <w:lvlText w:val="•"/>
      <w:lvlJc w:val="left"/>
      <w:pPr>
        <w:ind w:left="7652" w:hanging="290"/>
      </w:pPr>
      <w:rPr>
        <w:rFonts w:hint="default"/>
        <w:lang w:val="en-US" w:eastAsia="en-US" w:bidi="ar-SA"/>
      </w:rPr>
    </w:lvl>
  </w:abstractNum>
  <w:abstractNum w:abstractNumId="2" w15:restartNumberingAfterBreak="0">
    <w:nsid w:val="602A687E"/>
    <w:multiLevelType w:val="hybridMultilevel"/>
    <w:tmpl w:val="D9ECD216"/>
    <w:lvl w:ilvl="0" w:tplc="1A36F904">
      <w:start w:val="1"/>
      <w:numFmt w:val="decimal"/>
      <w:lvlText w:val="(%1)"/>
      <w:lvlJc w:val="left"/>
      <w:pPr>
        <w:ind w:left="1119" w:hanging="30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98B012BE">
      <w:numFmt w:val="bullet"/>
      <w:lvlText w:val="•"/>
      <w:lvlJc w:val="left"/>
      <w:pPr>
        <w:ind w:left="1962" w:hanging="300"/>
      </w:pPr>
      <w:rPr>
        <w:rFonts w:hint="default"/>
        <w:lang w:val="en-US" w:eastAsia="en-US" w:bidi="ar-SA"/>
      </w:rPr>
    </w:lvl>
    <w:lvl w:ilvl="2" w:tplc="652A565C">
      <w:numFmt w:val="bullet"/>
      <w:lvlText w:val="•"/>
      <w:lvlJc w:val="left"/>
      <w:pPr>
        <w:ind w:left="2804" w:hanging="300"/>
      </w:pPr>
      <w:rPr>
        <w:rFonts w:hint="default"/>
        <w:lang w:val="en-US" w:eastAsia="en-US" w:bidi="ar-SA"/>
      </w:rPr>
    </w:lvl>
    <w:lvl w:ilvl="3" w:tplc="9CD4FA26">
      <w:numFmt w:val="bullet"/>
      <w:lvlText w:val="•"/>
      <w:lvlJc w:val="left"/>
      <w:pPr>
        <w:ind w:left="3646" w:hanging="300"/>
      </w:pPr>
      <w:rPr>
        <w:rFonts w:hint="default"/>
        <w:lang w:val="en-US" w:eastAsia="en-US" w:bidi="ar-SA"/>
      </w:rPr>
    </w:lvl>
    <w:lvl w:ilvl="4" w:tplc="4FBC6ADE">
      <w:numFmt w:val="bullet"/>
      <w:lvlText w:val="•"/>
      <w:lvlJc w:val="left"/>
      <w:pPr>
        <w:ind w:left="4488" w:hanging="300"/>
      </w:pPr>
      <w:rPr>
        <w:rFonts w:hint="default"/>
        <w:lang w:val="en-US" w:eastAsia="en-US" w:bidi="ar-SA"/>
      </w:rPr>
    </w:lvl>
    <w:lvl w:ilvl="5" w:tplc="43DCDB46">
      <w:numFmt w:val="bullet"/>
      <w:lvlText w:val="•"/>
      <w:lvlJc w:val="left"/>
      <w:pPr>
        <w:ind w:left="5330" w:hanging="300"/>
      </w:pPr>
      <w:rPr>
        <w:rFonts w:hint="default"/>
        <w:lang w:val="en-US" w:eastAsia="en-US" w:bidi="ar-SA"/>
      </w:rPr>
    </w:lvl>
    <w:lvl w:ilvl="6" w:tplc="CBB477B6">
      <w:numFmt w:val="bullet"/>
      <w:lvlText w:val="•"/>
      <w:lvlJc w:val="left"/>
      <w:pPr>
        <w:ind w:left="6172" w:hanging="300"/>
      </w:pPr>
      <w:rPr>
        <w:rFonts w:hint="default"/>
        <w:lang w:val="en-US" w:eastAsia="en-US" w:bidi="ar-SA"/>
      </w:rPr>
    </w:lvl>
    <w:lvl w:ilvl="7" w:tplc="20B8AAC0">
      <w:numFmt w:val="bullet"/>
      <w:lvlText w:val="•"/>
      <w:lvlJc w:val="left"/>
      <w:pPr>
        <w:ind w:left="7014" w:hanging="300"/>
      </w:pPr>
      <w:rPr>
        <w:rFonts w:hint="default"/>
        <w:lang w:val="en-US" w:eastAsia="en-US" w:bidi="ar-SA"/>
      </w:rPr>
    </w:lvl>
    <w:lvl w:ilvl="8" w:tplc="042EC636">
      <w:numFmt w:val="bullet"/>
      <w:lvlText w:val="•"/>
      <w:lvlJc w:val="left"/>
      <w:pPr>
        <w:ind w:left="7856" w:hanging="300"/>
      </w:pPr>
      <w:rPr>
        <w:rFonts w:hint="default"/>
        <w:lang w:val="en-US" w:eastAsia="en-US" w:bidi="ar-SA"/>
      </w:rPr>
    </w:lvl>
  </w:abstractNum>
  <w:abstractNum w:abstractNumId="3" w15:restartNumberingAfterBreak="0">
    <w:nsid w:val="64FE32C8"/>
    <w:multiLevelType w:val="hybridMultilevel"/>
    <w:tmpl w:val="BA7E0C44"/>
    <w:lvl w:ilvl="0" w:tplc="E658410A">
      <w:start w:val="1"/>
      <w:numFmt w:val="decimal"/>
      <w:lvlText w:val="(%1)"/>
      <w:lvlJc w:val="left"/>
      <w:pPr>
        <w:ind w:left="1119" w:hanging="30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924E2E00">
      <w:start w:val="1"/>
      <w:numFmt w:val="lowerLetter"/>
      <w:lvlText w:val="(%2)"/>
      <w:lvlJc w:val="left"/>
      <w:pPr>
        <w:ind w:left="100" w:hanging="29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2" w:tplc="29C86106">
      <w:numFmt w:val="bullet"/>
      <w:lvlText w:val="•"/>
      <w:lvlJc w:val="left"/>
      <w:pPr>
        <w:ind w:left="1120" w:hanging="290"/>
      </w:pPr>
      <w:rPr>
        <w:rFonts w:hint="default"/>
        <w:lang w:val="en-US" w:eastAsia="en-US" w:bidi="ar-SA"/>
      </w:rPr>
    </w:lvl>
    <w:lvl w:ilvl="3" w:tplc="9DAEBA4A">
      <w:numFmt w:val="bullet"/>
      <w:lvlText w:val="•"/>
      <w:lvlJc w:val="left"/>
      <w:pPr>
        <w:ind w:left="2172" w:hanging="290"/>
      </w:pPr>
      <w:rPr>
        <w:rFonts w:hint="default"/>
        <w:lang w:val="en-US" w:eastAsia="en-US" w:bidi="ar-SA"/>
      </w:rPr>
    </w:lvl>
    <w:lvl w:ilvl="4" w:tplc="603C3EC0">
      <w:numFmt w:val="bullet"/>
      <w:lvlText w:val="•"/>
      <w:lvlJc w:val="left"/>
      <w:pPr>
        <w:ind w:left="3225" w:hanging="290"/>
      </w:pPr>
      <w:rPr>
        <w:rFonts w:hint="default"/>
        <w:lang w:val="en-US" w:eastAsia="en-US" w:bidi="ar-SA"/>
      </w:rPr>
    </w:lvl>
    <w:lvl w:ilvl="5" w:tplc="D10A1F2E">
      <w:numFmt w:val="bullet"/>
      <w:lvlText w:val="•"/>
      <w:lvlJc w:val="left"/>
      <w:pPr>
        <w:ind w:left="4277" w:hanging="290"/>
      </w:pPr>
      <w:rPr>
        <w:rFonts w:hint="default"/>
        <w:lang w:val="en-US" w:eastAsia="en-US" w:bidi="ar-SA"/>
      </w:rPr>
    </w:lvl>
    <w:lvl w:ilvl="6" w:tplc="6764CEC0">
      <w:numFmt w:val="bullet"/>
      <w:lvlText w:val="•"/>
      <w:lvlJc w:val="left"/>
      <w:pPr>
        <w:ind w:left="5330" w:hanging="290"/>
      </w:pPr>
      <w:rPr>
        <w:rFonts w:hint="default"/>
        <w:lang w:val="en-US" w:eastAsia="en-US" w:bidi="ar-SA"/>
      </w:rPr>
    </w:lvl>
    <w:lvl w:ilvl="7" w:tplc="2C9CCB5E">
      <w:numFmt w:val="bullet"/>
      <w:lvlText w:val="•"/>
      <w:lvlJc w:val="left"/>
      <w:pPr>
        <w:ind w:left="6382" w:hanging="290"/>
      </w:pPr>
      <w:rPr>
        <w:rFonts w:hint="default"/>
        <w:lang w:val="en-US" w:eastAsia="en-US" w:bidi="ar-SA"/>
      </w:rPr>
    </w:lvl>
    <w:lvl w:ilvl="8" w:tplc="544A1C86">
      <w:numFmt w:val="bullet"/>
      <w:lvlText w:val="•"/>
      <w:lvlJc w:val="left"/>
      <w:pPr>
        <w:ind w:left="7435" w:hanging="290"/>
      </w:pPr>
      <w:rPr>
        <w:rFonts w:hint="default"/>
        <w:lang w:val="en-US" w:eastAsia="en-US" w:bidi="ar-SA"/>
      </w:rPr>
    </w:lvl>
  </w:abstractNum>
  <w:abstractNum w:abstractNumId="4" w15:restartNumberingAfterBreak="0">
    <w:nsid w:val="6CB35409"/>
    <w:multiLevelType w:val="hybridMultilevel"/>
    <w:tmpl w:val="536E1A42"/>
    <w:lvl w:ilvl="0" w:tplc="AD7ACEC0">
      <w:start w:val="1"/>
      <w:numFmt w:val="decimal"/>
      <w:lvlText w:val="(%1)"/>
      <w:lvlJc w:val="left"/>
      <w:pPr>
        <w:ind w:left="1119" w:hanging="30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48A43B90">
      <w:start w:val="1"/>
      <w:numFmt w:val="lowerLetter"/>
      <w:lvlText w:val="(%2)"/>
      <w:lvlJc w:val="left"/>
      <w:pPr>
        <w:ind w:left="1109" w:hanging="290"/>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2" w:tplc="94DA1402">
      <w:numFmt w:val="bullet"/>
      <w:lvlText w:val="•"/>
      <w:lvlJc w:val="left"/>
      <w:pPr>
        <w:ind w:left="2055" w:hanging="290"/>
      </w:pPr>
      <w:rPr>
        <w:rFonts w:hint="default"/>
        <w:lang w:val="en-US" w:eastAsia="en-US" w:bidi="ar-SA"/>
      </w:rPr>
    </w:lvl>
    <w:lvl w:ilvl="3" w:tplc="05FAA354">
      <w:numFmt w:val="bullet"/>
      <w:lvlText w:val="•"/>
      <w:lvlJc w:val="left"/>
      <w:pPr>
        <w:ind w:left="2991" w:hanging="290"/>
      </w:pPr>
      <w:rPr>
        <w:rFonts w:hint="default"/>
        <w:lang w:val="en-US" w:eastAsia="en-US" w:bidi="ar-SA"/>
      </w:rPr>
    </w:lvl>
    <w:lvl w:ilvl="4" w:tplc="5442DFE8">
      <w:numFmt w:val="bullet"/>
      <w:lvlText w:val="•"/>
      <w:lvlJc w:val="left"/>
      <w:pPr>
        <w:ind w:left="3926" w:hanging="290"/>
      </w:pPr>
      <w:rPr>
        <w:rFonts w:hint="default"/>
        <w:lang w:val="en-US" w:eastAsia="en-US" w:bidi="ar-SA"/>
      </w:rPr>
    </w:lvl>
    <w:lvl w:ilvl="5" w:tplc="837EF0CC">
      <w:numFmt w:val="bullet"/>
      <w:lvlText w:val="•"/>
      <w:lvlJc w:val="left"/>
      <w:pPr>
        <w:ind w:left="4862" w:hanging="290"/>
      </w:pPr>
      <w:rPr>
        <w:rFonts w:hint="default"/>
        <w:lang w:val="en-US" w:eastAsia="en-US" w:bidi="ar-SA"/>
      </w:rPr>
    </w:lvl>
    <w:lvl w:ilvl="6" w:tplc="83D26D92">
      <w:numFmt w:val="bullet"/>
      <w:lvlText w:val="•"/>
      <w:lvlJc w:val="left"/>
      <w:pPr>
        <w:ind w:left="5797" w:hanging="290"/>
      </w:pPr>
      <w:rPr>
        <w:rFonts w:hint="default"/>
        <w:lang w:val="en-US" w:eastAsia="en-US" w:bidi="ar-SA"/>
      </w:rPr>
    </w:lvl>
    <w:lvl w:ilvl="7" w:tplc="ED60FA30">
      <w:numFmt w:val="bullet"/>
      <w:lvlText w:val="•"/>
      <w:lvlJc w:val="left"/>
      <w:pPr>
        <w:ind w:left="6733" w:hanging="290"/>
      </w:pPr>
      <w:rPr>
        <w:rFonts w:hint="default"/>
        <w:lang w:val="en-US" w:eastAsia="en-US" w:bidi="ar-SA"/>
      </w:rPr>
    </w:lvl>
    <w:lvl w:ilvl="8" w:tplc="C0B6AB46">
      <w:numFmt w:val="bullet"/>
      <w:lvlText w:val="•"/>
      <w:lvlJc w:val="left"/>
      <w:pPr>
        <w:ind w:left="7668" w:hanging="290"/>
      </w:pPr>
      <w:rPr>
        <w:rFonts w:hint="default"/>
        <w:lang w:val="en-US" w:eastAsia="en-US" w:bidi="ar-SA"/>
      </w:rPr>
    </w:lvl>
  </w:abstractNum>
  <w:num w:numId="1" w16cid:durableId="1650355848">
    <w:abstractNumId w:val="1"/>
  </w:num>
  <w:num w:numId="2" w16cid:durableId="597106802">
    <w:abstractNumId w:val="3"/>
  </w:num>
  <w:num w:numId="3" w16cid:durableId="852913825">
    <w:abstractNumId w:val="4"/>
  </w:num>
  <w:num w:numId="4" w16cid:durableId="2113743338">
    <w:abstractNumId w:val="2"/>
  </w:num>
  <w:num w:numId="5" w16cid:durableId="2083408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2D7"/>
    <w:rsid w:val="000523A6"/>
    <w:rsid w:val="000849D0"/>
    <w:rsid w:val="000C568D"/>
    <w:rsid w:val="000E73B6"/>
    <w:rsid w:val="00152402"/>
    <w:rsid w:val="00153427"/>
    <w:rsid w:val="00164173"/>
    <w:rsid w:val="0017665D"/>
    <w:rsid w:val="00186855"/>
    <w:rsid w:val="001A1288"/>
    <w:rsid w:val="001C7B25"/>
    <w:rsid w:val="002A0CC9"/>
    <w:rsid w:val="002B5E14"/>
    <w:rsid w:val="00312055"/>
    <w:rsid w:val="00386F3D"/>
    <w:rsid w:val="004A1299"/>
    <w:rsid w:val="004B5932"/>
    <w:rsid w:val="005043A9"/>
    <w:rsid w:val="00523B05"/>
    <w:rsid w:val="006002C6"/>
    <w:rsid w:val="00602BC9"/>
    <w:rsid w:val="0064377F"/>
    <w:rsid w:val="006864F7"/>
    <w:rsid w:val="006C7216"/>
    <w:rsid w:val="00722020"/>
    <w:rsid w:val="00762EB7"/>
    <w:rsid w:val="007B4991"/>
    <w:rsid w:val="007F3CC2"/>
    <w:rsid w:val="008B09EE"/>
    <w:rsid w:val="008B2BE7"/>
    <w:rsid w:val="00915123"/>
    <w:rsid w:val="009234BE"/>
    <w:rsid w:val="00931C6C"/>
    <w:rsid w:val="009D6710"/>
    <w:rsid w:val="00A205CA"/>
    <w:rsid w:val="00AB454B"/>
    <w:rsid w:val="00AD1858"/>
    <w:rsid w:val="00B1473A"/>
    <w:rsid w:val="00B30041"/>
    <w:rsid w:val="00B412C9"/>
    <w:rsid w:val="00B46D2F"/>
    <w:rsid w:val="00B64B0F"/>
    <w:rsid w:val="00B90E55"/>
    <w:rsid w:val="00CD0B82"/>
    <w:rsid w:val="00CF0FC2"/>
    <w:rsid w:val="00D44CF2"/>
    <w:rsid w:val="00DD375F"/>
    <w:rsid w:val="00E237BF"/>
    <w:rsid w:val="00E432F4"/>
    <w:rsid w:val="00E76E41"/>
    <w:rsid w:val="00EC2AAC"/>
    <w:rsid w:val="00F025E2"/>
    <w:rsid w:val="00F51097"/>
    <w:rsid w:val="00FD28F3"/>
    <w:rsid w:val="00FE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22099"/>
  <w15:docId w15:val="{5511EA88-B7D3-4ECF-8421-ACCF6304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firstLine="720"/>
    </w:pPr>
    <w:rPr>
      <w:sz w:val="18"/>
      <w:szCs w:val="18"/>
    </w:rPr>
  </w:style>
  <w:style w:type="paragraph" w:styleId="ListParagraph">
    <w:name w:val="List Paragraph"/>
    <w:basedOn w:val="Normal"/>
    <w:uiPriority w:val="1"/>
    <w:qFormat/>
    <w:pPr>
      <w:ind w:left="100" w:firstLine="72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86855"/>
    <w:rPr>
      <w:color w:val="0000FF" w:themeColor="hyperlink"/>
      <w:u w:val="single"/>
    </w:rPr>
  </w:style>
  <w:style w:type="character" w:styleId="UnresolvedMention">
    <w:name w:val="Unresolved Mention"/>
    <w:basedOn w:val="DefaultParagraphFont"/>
    <w:uiPriority w:val="99"/>
    <w:semiHidden/>
    <w:unhideWhenUsed/>
    <w:rsid w:val="00186855"/>
    <w:rPr>
      <w:color w:val="605E5C"/>
      <w:shd w:val="clear" w:color="auto" w:fill="E1DFDD"/>
    </w:rPr>
  </w:style>
  <w:style w:type="paragraph" w:styleId="NormalWeb">
    <w:name w:val="Normal (Web)"/>
    <w:basedOn w:val="Normal"/>
    <w:semiHidden/>
    <w:rsid w:val="00F025E2"/>
    <w:pPr>
      <w:widowControl/>
      <w:autoSpaceDE/>
      <w:autoSpaceDN/>
      <w:spacing w:before="100" w:beforeAutospacing="1" w:after="100" w:afterAutospacing="1"/>
    </w:pPr>
    <w:rPr>
      <w:sz w:val="24"/>
      <w:szCs w:val="24"/>
    </w:rPr>
  </w:style>
  <w:style w:type="paragraph" w:customStyle="1" w:styleId="WW-Default">
    <w:name w:val="WW-Default"/>
    <w:uiPriority w:val="99"/>
    <w:rsid w:val="00F025E2"/>
    <w:pPr>
      <w:adjustRightInd w:val="0"/>
    </w:pPr>
    <w:rPr>
      <w:rFonts w:ascii="Courier New" w:eastAsia="Times New Roman" w:hAnsi="Times New Roman" w:cs="Courier New"/>
      <w:sz w:val="24"/>
      <w:szCs w:val="24"/>
      <w:lang w:bidi="hi-IN"/>
    </w:rPr>
  </w:style>
  <w:style w:type="character" w:styleId="PlaceholderText">
    <w:name w:val="Placeholder Text"/>
    <w:basedOn w:val="DefaultParagraphFont"/>
    <w:uiPriority w:val="99"/>
    <w:semiHidden/>
    <w:rsid w:val="00F025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Asplund</dc:creator>
  <cp:lastModifiedBy>Burningham</cp:lastModifiedBy>
  <cp:revision>2</cp:revision>
  <dcterms:created xsi:type="dcterms:W3CDTF">2025-07-25T20:03:00Z</dcterms:created>
  <dcterms:modified xsi:type="dcterms:W3CDTF">2025-07-25T20:03:00Z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2023-10-24T00:00:00Z</vt:filetime>
  </property>
  <property fmtid="{D5CDD505-2E9C-101B-9397-08002B2CF9AE}" pid="3" name="Creator">
    <vt:lpwstr>Microsoft Office Word</vt:lpwstr>
  </property>
  <property fmtid="{D5CDD505-2E9C-101B-9397-08002B2CF9AE}" pid="4" name="LastSaved">
    <vt:filetime>2025-02-26T00:00:00Z</vt:filetime>
  </property>
  <property fmtid="{D5CDD505-2E9C-101B-9397-08002B2CF9AE}" pid="5" name="Producer">
    <vt:lpwstr>Aspose.Words for .NET 19.1</vt:lpwstr>
  </property>
</Properties>
</file>