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2740E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R37.  Government Operations, Risk Management.</w:t>
      </w:r>
    </w:p>
    <w:p w14:paraId="632B2708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R37-4.  Adjusted Utah Governmental Immunity Act Limitations on Judgments.</w:t>
      </w:r>
    </w:p>
    <w:p w14:paraId="0985581E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R37-4-1.  Authority and Calculation Process.</w:t>
      </w:r>
    </w:p>
    <w:p w14:paraId="5B923430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18"/>
        </w:rPr>
        <w:tab/>
        <w:t>Pursuant to Subsection 63G-7-605(4), the Risk Manager establishes new limitations of judgments, based upon the adjustments communicated by the Legislative Fiscal Analyst.</w:t>
      </w:r>
    </w:p>
    <w:p w14:paraId="12E9059C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</w:p>
    <w:p w14:paraId="1088E1EE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R37-4-2.  New Limitation of Judgment Amounts.</w:t>
      </w:r>
    </w:p>
    <w:p w14:paraId="6E501A09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18"/>
        </w:rPr>
        <w:tab/>
        <w:t>The new limitation of judgment amounts currently required by Subsection 63G-7-604(3) are increased as follows, pursuant to Section 63G-7-605, and are effective July 1, 2022 for claims occurring on or after that date:</w:t>
      </w:r>
    </w:p>
    <w:p w14:paraId="1203BC6A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22"/>
        </w:rPr>
        <w:tab/>
        <w:t xml:space="preserve">(1)  The limit for damages for personal injury against a governmental entity, or against an employee whom a governmental entity has a duty to indemnify, is </w:t>
      </w:r>
      <w:r w:rsidRPr="00810A53">
        <w:rPr>
          <w:sz w:val="18"/>
          <w:szCs w:val="18"/>
        </w:rPr>
        <w:t>$827,000 for one person in any one occurrence, and $3,329,100 is the aggregate amount of individual awards that be may awarded in relation to a single occurrence; and</w:t>
      </w:r>
    </w:p>
    <w:p w14:paraId="345FECC6" w14:textId="69D8CEAF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22"/>
        </w:rPr>
        <w:tab/>
        <w:t xml:space="preserve">(2)  the limit for property damages, excluding damages awarded as compensation when a governmental entity has taken or damaged private property for public use without just compensation, against a governmental entity, or against an employee whom a governmental entity has a duty to indemnify, is </w:t>
      </w:r>
      <w:r w:rsidRPr="00810A53">
        <w:rPr>
          <w:sz w:val="18"/>
          <w:szCs w:val="18"/>
        </w:rPr>
        <w:t>$326,200 in any one occurrence.</w:t>
      </w:r>
    </w:p>
    <w:p w14:paraId="5F0B3F98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</w:p>
    <w:p w14:paraId="4D9397FD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R37-4-3.  Limitations of Judgments by Calendar Date.</w:t>
      </w:r>
    </w:p>
    <w:p w14:paraId="323AA2B9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18"/>
        </w:rPr>
        <w:tab/>
        <w:t>The limitations on judgments are established by the date of the occurrence.  The dates and dollar amounts are as follows:</w:t>
      </w:r>
    </w:p>
    <w:p w14:paraId="0E815692" w14:textId="3D7DF3C1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(1)  Incidents occurring before July 1, 2001 - $250,000 for one person in an occurrence, $500,000 aggregate for two or more persons in an occurrence; and $100,000 for property damage for any one occurrence.</w:t>
      </w:r>
    </w:p>
    <w:p w14:paraId="12E2DDD5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(2)  Incidents occurring on or after July 1, 2001 - $500,000 for one person in an occurrence, $1,000,000 aggregate for two or more persons in an occurrence; and $200,000 for property damage for any one occurrence.</w:t>
      </w:r>
    </w:p>
    <w:p w14:paraId="2464F019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(3)  Incidents occurring on or after July 1, 2002 - $532,500 for one person in an occurrence, $1,065,000 aggregate for two or more persons in an occurrence; and $213,000 for property damage for any one occurrence.</w:t>
      </w:r>
    </w:p>
    <w:p w14:paraId="4F5BC001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(4)  Incidents occurring on or after July 1, 2004 - $553,500 for one person in an occurrence, $1,107,000 aggregate for two or more persons in an occurrence, and $221,400 for property damage for any one occurrence.</w:t>
      </w:r>
    </w:p>
    <w:p w14:paraId="0DE1C6CD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(5)  Incidents occurring on or after July 1, 2006 - $583,900 for one person in an occurrence, $1,167,900 aggregate for two or more persons in an occurrence, and $233,600 for property damage for any one occurrence.</w:t>
      </w:r>
    </w:p>
    <w:p w14:paraId="2994512F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(6)  Incidents occurring on or after July 1, 2007 - $583,900 for one person in an occurrence, $2,000,000 aggregate for two or more persons in an occurrence, and $233,600 for property damage for any one occurrence.</w:t>
      </w:r>
    </w:p>
    <w:p w14:paraId="39FB4015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(7)  Incidents occurring on or after July 1, 2008 - $620,700 for one person in an occurrence, $2,126,000 aggregate for two or more persons in an occurrence, and $248,300 for property damage for any one occurrence.</w:t>
      </w:r>
    </w:p>
    <w:p w14:paraId="76D62E75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(8)  Incidents occurring on or after July 1, 2010 - $648,700 for one person in an occurrence, $2,221,700 aggregate for two or more persons in an occurrence, and $259,500 for property damage for any one occurrence.</w:t>
      </w:r>
    </w:p>
    <w:p w14:paraId="11C12DA0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(9)  Incidents occurring on or after July 1, 2012 - $674,000 for one person in an occurrence, $2,308,400 aggregate for two or more persons in an occurrence, and $269,700 for property damage for any one occurrence.</w:t>
      </w:r>
    </w:p>
    <w:p w14:paraId="3B0014FD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(10)  Incidents occurring on or after July 1, 2014 - $703,000 for one person in an occurrence, $2,407,700 aggregate for two or more persons in an occurrence, and $281,300 for property damage for any one occurrence.</w:t>
      </w:r>
    </w:p>
    <w:p w14:paraId="0D31FACA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(11)  Incidents occurring on or after July 1, 2016 - $717,100 for one person in an occurrence, $2,455,900 aggregate for two or more persons in an occurrence, and $286,900 for property damage for any one occurrence.</w:t>
      </w:r>
    </w:p>
    <w:p w14:paraId="516ED8CB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(12)  Incidents occurring on or after July 1, 2018 - $745,200 for one person in an occurrence, $2,552,000 aggregate for two or more persons in an occurrence, and $295,000 for property damage for any one occurrence as explained in Subsection R37-4-2(2).</w:t>
      </w:r>
    </w:p>
    <w:p w14:paraId="247FD38B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sz w:val="18"/>
          <w:szCs w:val="22"/>
        </w:rPr>
        <w:tab/>
        <w:t>(13)  Incidents occurring on or after July 1, 2020 - $779,600 for one person in an occurrence, $3,138,300 aggregate for two or more persons in an occurrence, and $307,700 for property damage for any one occurrence as explained in Subsection R37-4-2(2).</w:t>
      </w:r>
    </w:p>
    <w:p w14:paraId="56E32F45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18"/>
        </w:rPr>
        <w:tab/>
        <w:t xml:space="preserve">(14)  Incidents occurring on or after July 1, 2022 - $827,000 for one person in an occurrence, $3,329,100 aggregate for two or more persons in an occurrence, and $326,200 for property damage for any one occurrence as explained in </w:t>
      </w:r>
      <w:r w:rsidRPr="00810A53">
        <w:rPr>
          <w:sz w:val="18"/>
          <w:szCs w:val="22"/>
        </w:rPr>
        <w:t>Subsection R37-4-2(2)</w:t>
      </w:r>
      <w:r w:rsidRPr="00810A53">
        <w:rPr>
          <w:sz w:val="18"/>
          <w:szCs w:val="18"/>
        </w:rPr>
        <w:t>.</w:t>
      </w:r>
    </w:p>
    <w:p w14:paraId="6499579C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  <w:r w:rsidRPr="00810A53">
        <w:rPr>
          <w:sz w:val="18"/>
          <w:szCs w:val="18"/>
        </w:rPr>
        <w:tab/>
        <w:t xml:space="preserve">(15)  Incidents occurring on of after July 1, 2024 - $911,300 for one person in an occurrence, $3,668,400 aggregate for two or more persons in an occurrence, and $366,900 for property damage for any one occurrence as explained in </w:t>
      </w:r>
      <w:r w:rsidRPr="00810A53">
        <w:rPr>
          <w:sz w:val="18"/>
          <w:szCs w:val="22"/>
        </w:rPr>
        <w:t>Subsection R37-4-2(2)</w:t>
      </w:r>
      <w:r w:rsidRPr="00810A53">
        <w:rPr>
          <w:sz w:val="18"/>
          <w:szCs w:val="18"/>
        </w:rPr>
        <w:t>.</w:t>
      </w:r>
    </w:p>
    <w:p w14:paraId="69C2EAF0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18"/>
        </w:rPr>
      </w:pPr>
    </w:p>
    <w:p w14:paraId="75BBEF46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KEY:  limitation on judgments, risk management, Governmental Immunity Act caps</w:t>
      </w:r>
    </w:p>
    <w:p w14:paraId="45D73475" w14:textId="23FD0756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 xml:space="preserve">Date of Last Change:  </w:t>
      </w:r>
      <w:r w:rsidR="0075423B" w:rsidRPr="00810A53">
        <w:rPr>
          <w:b/>
          <w:sz w:val="18"/>
          <w:szCs w:val="22"/>
        </w:rPr>
        <w:t xml:space="preserve">September 22, </w:t>
      </w:r>
      <w:r w:rsidRPr="00810A53">
        <w:rPr>
          <w:b/>
          <w:sz w:val="18"/>
          <w:szCs w:val="22"/>
        </w:rPr>
        <w:t>2025</w:t>
      </w:r>
    </w:p>
    <w:p w14:paraId="6C045939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Notice of Continuation:  March 21, 2022</w:t>
      </w:r>
    </w:p>
    <w:p w14:paraId="7DDFCF0C" w14:textId="77777777" w:rsidR="00336F7F" w:rsidRPr="00810A53" w:rsidRDefault="00336F7F" w:rsidP="00336F7F">
      <w:pPr>
        <w:widowControl/>
        <w:suppressAutoHyphens/>
        <w:adjustRightInd/>
        <w:rPr>
          <w:sz w:val="18"/>
          <w:szCs w:val="22"/>
        </w:rPr>
      </w:pPr>
      <w:r w:rsidRPr="00810A53">
        <w:rPr>
          <w:b/>
          <w:sz w:val="18"/>
          <w:szCs w:val="22"/>
        </w:rPr>
        <w:t>Authorizing, and Implemented or Interpreted Law:  63G-7-605(4)</w:t>
      </w:r>
    </w:p>
    <w:p w14:paraId="0E16FC91" w14:textId="77777777" w:rsidR="00336F7F" w:rsidRPr="00810A53" w:rsidRDefault="00336F7F" w:rsidP="00336F7F">
      <w:pPr>
        <w:widowControl/>
        <w:suppressAutoHyphens/>
        <w:autoSpaceDE/>
        <w:autoSpaceDN/>
        <w:adjustRightInd/>
        <w:rPr>
          <w:sz w:val="18"/>
          <w:szCs w:val="20"/>
        </w:rPr>
      </w:pPr>
    </w:p>
    <w:p w14:paraId="4DC52F6A" w14:textId="379ADE5B" w:rsidR="00571362" w:rsidRPr="00810A53" w:rsidRDefault="00571362" w:rsidP="00336F7F">
      <w:pPr>
        <w:widowControl/>
        <w:suppressAutoHyphens/>
        <w:rPr>
          <w:sz w:val="18"/>
        </w:rPr>
      </w:pPr>
    </w:p>
    <w:sectPr w:rsidR="00571362" w:rsidRPr="00810A53" w:rsidSect="00810A53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310EF" w14:textId="77777777" w:rsidR="007007CA" w:rsidRDefault="007007CA" w:rsidP="00C17968">
      <w:r>
        <w:separator/>
      </w:r>
    </w:p>
  </w:endnote>
  <w:endnote w:type="continuationSeparator" w:id="0">
    <w:p w14:paraId="44B44D7B" w14:textId="77777777" w:rsidR="007007CA" w:rsidRDefault="007007CA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C77CA" w14:textId="77777777" w:rsidR="007007CA" w:rsidRDefault="007007CA" w:rsidP="00C17968">
      <w:r>
        <w:separator/>
      </w:r>
    </w:p>
  </w:footnote>
  <w:footnote w:type="continuationSeparator" w:id="0">
    <w:p w14:paraId="332FD8C9" w14:textId="77777777" w:rsidR="007007CA" w:rsidRDefault="007007CA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118A5"/>
    <w:rsid w:val="00027A64"/>
    <w:rsid w:val="0003198B"/>
    <w:rsid w:val="0003665D"/>
    <w:rsid w:val="00050AB6"/>
    <w:rsid w:val="00051473"/>
    <w:rsid w:val="0005628D"/>
    <w:rsid w:val="00060995"/>
    <w:rsid w:val="00083289"/>
    <w:rsid w:val="00083BAD"/>
    <w:rsid w:val="00086A4C"/>
    <w:rsid w:val="00092D64"/>
    <w:rsid w:val="00094789"/>
    <w:rsid w:val="00097BF8"/>
    <w:rsid w:val="000A1E01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53275"/>
    <w:rsid w:val="001659D6"/>
    <w:rsid w:val="001769DF"/>
    <w:rsid w:val="0018100B"/>
    <w:rsid w:val="00187CB9"/>
    <w:rsid w:val="00197144"/>
    <w:rsid w:val="00197329"/>
    <w:rsid w:val="001B1B40"/>
    <w:rsid w:val="001C3DAB"/>
    <w:rsid w:val="001C4CEB"/>
    <w:rsid w:val="001D1A8C"/>
    <w:rsid w:val="001D45E8"/>
    <w:rsid w:val="001D6B36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217E6"/>
    <w:rsid w:val="00335956"/>
    <w:rsid w:val="0033622C"/>
    <w:rsid w:val="00336F7F"/>
    <w:rsid w:val="00342459"/>
    <w:rsid w:val="00351E76"/>
    <w:rsid w:val="00373FE5"/>
    <w:rsid w:val="00380D52"/>
    <w:rsid w:val="003811E6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203C9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A031A"/>
    <w:rsid w:val="004B7F3B"/>
    <w:rsid w:val="004C1421"/>
    <w:rsid w:val="004C20EA"/>
    <w:rsid w:val="004C4015"/>
    <w:rsid w:val="004C74B6"/>
    <w:rsid w:val="004D328F"/>
    <w:rsid w:val="004D5451"/>
    <w:rsid w:val="004D6568"/>
    <w:rsid w:val="00503322"/>
    <w:rsid w:val="00507D62"/>
    <w:rsid w:val="00516E14"/>
    <w:rsid w:val="00523940"/>
    <w:rsid w:val="005343B5"/>
    <w:rsid w:val="005429B8"/>
    <w:rsid w:val="00550F3B"/>
    <w:rsid w:val="00551480"/>
    <w:rsid w:val="005547E4"/>
    <w:rsid w:val="005556D4"/>
    <w:rsid w:val="00562B4A"/>
    <w:rsid w:val="00563DBC"/>
    <w:rsid w:val="005704DC"/>
    <w:rsid w:val="00571362"/>
    <w:rsid w:val="0057263E"/>
    <w:rsid w:val="005732E8"/>
    <w:rsid w:val="00574132"/>
    <w:rsid w:val="00580659"/>
    <w:rsid w:val="00583378"/>
    <w:rsid w:val="00587366"/>
    <w:rsid w:val="005879FB"/>
    <w:rsid w:val="00590D6C"/>
    <w:rsid w:val="005946F6"/>
    <w:rsid w:val="00594E8B"/>
    <w:rsid w:val="005960C4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145C2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6E1FF3"/>
    <w:rsid w:val="007007CA"/>
    <w:rsid w:val="007047A1"/>
    <w:rsid w:val="007115DE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5423B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8077EE"/>
    <w:rsid w:val="00807BB1"/>
    <w:rsid w:val="00810A53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6F7"/>
    <w:rsid w:val="008829AB"/>
    <w:rsid w:val="008874D2"/>
    <w:rsid w:val="00890276"/>
    <w:rsid w:val="00890A1F"/>
    <w:rsid w:val="00895860"/>
    <w:rsid w:val="008A405B"/>
    <w:rsid w:val="008B0B8A"/>
    <w:rsid w:val="008D6C4B"/>
    <w:rsid w:val="008E7D98"/>
    <w:rsid w:val="008E7D9B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86B62"/>
    <w:rsid w:val="0099724C"/>
    <w:rsid w:val="009A2A78"/>
    <w:rsid w:val="009A4D73"/>
    <w:rsid w:val="009B5790"/>
    <w:rsid w:val="009C0017"/>
    <w:rsid w:val="009C2A6A"/>
    <w:rsid w:val="009D34B6"/>
    <w:rsid w:val="009E5ABD"/>
    <w:rsid w:val="009E75B1"/>
    <w:rsid w:val="009F0DEE"/>
    <w:rsid w:val="00A0145C"/>
    <w:rsid w:val="00A03CB3"/>
    <w:rsid w:val="00A069E4"/>
    <w:rsid w:val="00A2194C"/>
    <w:rsid w:val="00A2684B"/>
    <w:rsid w:val="00A41D37"/>
    <w:rsid w:val="00A44F17"/>
    <w:rsid w:val="00A51AA0"/>
    <w:rsid w:val="00A52209"/>
    <w:rsid w:val="00A6312E"/>
    <w:rsid w:val="00A771CE"/>
    <w:rsid w:val="00A7726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129D7"/>
    <w:rsid w:val="00B132A1"/>
    <w:rsid w:val="00B1423E"/>
    <w:rsid w:val="00B33858"/>
    <w:rsid w:val="00B41350"/>
    <w:rsid w:val="00B41A6C"/>
    <w:rsid w:val="00B535B4"/>
    <w:rsid w:val="00B606F6"/>
    <w:rsid w:val="00B61024"/>
    <w:rsid w:val="00B61855"/>
    <w:rsid w:val="00B62A8D"/>
    <w:rsid w:val="00B67C05"/>
    <w:rsid w:val="00B90B4E"/>
    <w:rsid w:val="00B974B0"/>
    <w:rsid w:val="00BC5E52"/>
    <w:rsid w:val="00BD38D5"/>
    <w:rsid w:val="00BE482A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51DB7"/>
    <w:rsid w:val="00C7075A"/>
    <w:rsid w:val="00C71AAC"/>
    <w:rsid w:val="00C864C3"/>
    <w:rsid w:val="00CA2A17"/>
    <w:rsid w:val="00CA4226"/>
    <w:rsid w:val="00CA4306"/>
    <w:rsid w:val="00CA642C"/>
    <w:rsid w:val="00CB214B"/>
    <w:rsid w:val="00CC0414"/>
    <w:rsid w:val="00CC1DE2"/>
    <w:rsid w:val="00CC2F8D"/>
    <w:rsid w:val="00CC3128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2A3C"/>
    <w:rsid w:val="00D13EC4"/>
    <w:rsid w:val="00D17C88"/>
    <w:rsid w:val="00D222F2"/>
    <w:rsid w:val="00D22416"/>
    <w:rsid w:val="00D2400F"/>
    <w:rsid w:val="00D26D4A"/>
    <w:rsid w:val="00D2763B"/>
    <w:rsid w:val="00D31690"/>
    <w:rsid w:val="00D330D2"/>
    <w:rsid w:val="00D41554"/>
    <w:rsid w:val="00D41ABA"/>
    <w:rsid w:val="00D50591"/>
    <w:rsid w:val="00D66564"/>
    <w:rsid w:val="00D6785E"/>
    <w:rsid w:val="00D71636"/>
    <w:rsid w:val="00D74061"/>
    <w:rsid w:val="00D76607"/>
    <w:rsid w:val="00D7747A"/>
    <w:rsid w:val="00D96075"/>
    <w:rsid w:val="00D97919"/>
    <w:rsid w:val="00DA6D1D"/>
    <w:rsid w:val="00DA783E"/>
    <w:rsid w:val="00DB3AE0"/>
    <w:rsid w:val="00DC0B97"/>
    <w:rsid w:val="00DC1529"/>
    <w:rsid w:val="00DC51B5"/>
    <w:rsid w:val="00DE4AAB"/>
    <w:rsid w:val="00E06657"/>
    <w:rsid w:val="00E12901"/>
    <w:rsid w:val="00E2296E"/>
    <w:rsid w:val="00E23A0A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6C8D"/>
    <w:rsid w:val="00EC7C9D"/>
    <w:rsid w:val="00ED6764"/>
    <w:rsid w:val="00EE1614"/>
    <w:rsid w:val="00EE2657"/>
    <w:rsid w:val="00EE6D3C"/>
    <w:rsid w:val="00EF40BC"/>
    <w:rsid w:val="00EF4B6B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794"/>
    <w:rsid w:val="00F42C14"/>
    <w:rsid w:val="00F51C4E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C1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2025-09-24T18:41:00Z</dcterms:created>
  <dcterms:modified xsi:type="dcterms:W3CDTF">2025-09-24T18:41:00Z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FTHINGID">
    <vt:lpwstr>W282IEN80D1R8K</vt:lpwstr>
  </property>
  <property fmtid="{D5CDD505-2E9C-101B-9397-08002B2CF9AE}" pid="3" name="LFORIGNAME">
    <vt:lpwstr>LegalFilesWeb3.docx</vt:lpwstr>
  </property>
</Properties>
</file>