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91B7E" w14:textId="6E6194BE" w:rsidR="00EA0A63" w:rsidRPr="005E6687" w:rsidRDefault="00EA0A63" w:rsidP="00EA0A63">
      <w:pPr>
        <w:widowControl/>
        <w:suppressAutoHyphens/>
        <w:rPr>
          <w:bCs/>
          <w:sz w:val="18"/>
        </w:rPr>
      </w:pPr>
      <w:r w:rsidRPr="005E6687">
        <w:rPr>
          <w:b/>
          <w:bCs/>
          <w:sz w:val="18"/>
          <w:lang w:val="en-CA"/>
        </w:rPr>
        <w:fldChar w:fldCharType="begin"/>
      </w:r>
      <w:r w:rsidRPr="005E6687">
        <w:rPr>
          <w:b/>
          <w:bCs/>
          <w:sz w:val="18"/>
          <w:lang w:val="en-CA"/>
        </w:rPr>
        <w:instrText xml:space="preserve"> SEQ CHAPTER \h \r 1</w:instrText>
      </w:r>
      <w:r w:rsidRPr="005E6687">
        <w:rPr>
          <w:b/>
          <w:bCs/>
          <w:sz w:val="18"/>
          <w:lang w:val="en-CA"/>
        </w:rPr>
        <w:fldChar w:fldCharType="end"/>
      </w:r>
      <w:r w:rsidRPr="005E6687">
        <w:rPr>
          <w:b/>
          <w:bCs/>
          <w:sz w:val="18"/>
        </w:rPr>
        <w:t>R156.  Commerce, Professional Licensing.</w:t>
      </w:r>
    </w:p>
    <w:p w14:paraId="5FD0A19D" w14:textId="77777777" w:rsidR="00EA0A63" w:rsidRPr="005E6687" w:rsidRDefault="00EA0A63" w:rsidP="00EA0A63">
      <w:pPr>
        <w:widowControl/>
        <w:suppressAutoHyphens/>
        <w:rPr>
          <w:sz w:val="18"/>
        </w:rPr>
      </w:pPr>
      <w:r w:rsidRPr="005E6687">
        <w:rPr>
          <w:b/>
          <w:bCs/>
          <w:sz w:val="18"/>
        </w:rPr>
        <w:t>R156-20b.  Environmental Health Scientist Act Rule.</w:t>
      </w:r>
    </w:p>
    <w:p w14:paraId="61D4F301" w14:textId="30942BB2" w:rsidR="00EA0A63" w:rsidRPr="005E6687" w:rsidRDefault="00EA0A63" w:rsidP="00EA0A63">
      <w:pPr>
        <w:widowControl/>
        <w:suppressAutoHyphens/>
        <w:rPr>
          <w:sz w:val="18"/>
        </w:rPr>
      </w:pPr>
      <w:r w:rsidRPr="005E6687">
        <w:rPr>
          <w:b/>
          <w:bCs/>
          <w:sz w:val="18"/>
        </w:rPr>
        <w:t>R156-20b-101.  Title -- Authority -- Relationship to Rule R156-1.</w:t>
      </w:r>
    </w:p>
    <w:p w14:paraId="417B4794" w14:textId="77777777" w:rsidR="00EA0A63" w:rsidRPr="005E6687" w:rsidRDefault="00EA0A63" w:rsidP="00EA0A63">
      <w:pPr>
        <w:widowControl/>
        <w:suppressAutoHyphens/>
        <w:rPr>
          <w:sz w:val="18"/>
        </w:rPr>
      </w:pPr>
      <w:r w:rsidRPr="005E6687">
        <w:rPr>
          <w:sz w:val="18"/>
        </w:rPr>
        <w:tab/>
        <w:t>(1)  This rule is known as the "Environmental Health Scientist Act Rule."</w:t>
      </w:r>
    </w:p>
    <w:p w14:paraId="3175C6EB" w14:textId="77777777" w:rsidR="00EA0A63" w:rsidRPr="005E6687" w:rsidRDefault="00EA0A63" w:rsidP="00EA0A63">
      <w:pPr>
        <w:widowControl/>
        <w:suppressAutoHyphens/>
        <w:rPr>
          <w:sz w:val="18"/>
        </w:rPr>
      </w:pPr>
      <w:r w:rsidRPr="005E6687">
        <w:rPr>
          <w:sz w:val="18"/>
        </w:rPr>
        <w:tab/>
        <w:t>(2)  This rule is adopted by the Division under the authority of Subsection 58-1-106(1)(a) to enable the Division to administer Title 58, Chapter 20b, Environmental Health Scientist Act.</w:t>
      </w:r>
    </w:p>
    <w:p w14:paraId="0E5CEA29" w14:textId="77777777" w:rsidR="00EA0A63" w:rsidRPr="005E6687" w:rsidRDefault="00EA0A63" w:rsidP="00EA0A63">
      <w:pPr>
        <w:widowControl/>
        <w:suppressAutoHyphens/>
        <w:rPr>
          <w:sz w:val="18"/>
        </w:rPr>
      </w:pPr>
      <w:r w:rsidRPr="005E6687">
        <w:rPr>
          <w:sz w:val="18"/>
        </w:rPr>
        <w:tab/>
        <w:t>(3)  The organization of this rule and its relationship to Rule R156-1 is as described in Section R156-1-101.</w:t>
      </w:r>
    </w:p>
    <w:p w14:paraId="1D8FD0A2" w14:textId="77777777" w:rsidR="00EA0A63" w:rsidRPr="005E6687" w:rsidRDefault="00EA0A63" w:rsidP="00EA0A63">
      <w:pPr>
        <w:widowControl/>
        <w:suppressAutoHyphens/>
        <w:rPr>
          <w:sz w:val="18"/>
        </w:rPr>
      </w:pPr>
    </w:p>
    <w:p w14:paraId="314390FF" w14:textId="77777777" w:rsidR="00EA0A63" w:rsidRPr="005E6687" w:rsidRDefault="00EA0A63" w:rsidP="00EA0A63">
      <w:pPr>
        <w:widowControl/>
        <w:suppressAutoHyphens/>
        <w:rPr>
          <w:sz w:val="18"/>
        </w:rPr>
      </w:pPr>
      <w:r w:rsidRPr="005E6687">
        <w:rPr>
          <w:b/>
          <w:bCs/>
          <w:sz w:val="18"/>
        </w:rPr>
        <w:t>R156-20b-102.  Definitions.</w:t>
      </w:r>
    </w:p>
    <w:p w14:paraId="081E5EAE" w14:textId="323AD82D" w:rsidR="00EA0A63" w:rsidRPr="005E6687" w:rsidRDefault="00EA0A63" w:rsidP="00EA0A63">
      <w:pPr>
        <w:widowControl/>
        <w:suppressAutoHyphens/>
        <w:rPr>
          <w:sz w:val="18"/>
        </w:rPr>
      </w:pPr>
      <w:r w:rsidRPr="005E6687">
        <w:rPr>
          <w:sz w:val="18"/>
        </w:rPr>
        <w:tab/>
        <w:t>Terms used in the rule are defined in Title 58, Chapter 1, Division of Professional Licensing Act, and in Title 58, Chapter 20b, Environmental Health Scientist Act. In addition:</w:t>
      </w:r>
    </w:p>
    <w:p w14:paraId="1022FD19" w14:textId="6425CAD5" w:rsidR="00EA0A63" w:rsidRPr="005E6687" w:rsidRDefault="00EA0A63" w:rsidP="00EA0A63">
      <w:pPr>
        <w:widowControl/>
        <w:suppressAutoHyphens/>
        <w:rPr>
          <w:sz w:val="18"/>
        </w:rPr>
      </w:pPr>
      <w:r w:rsidRPr="005E6687">
        <w:rPr>
          <w:sz w:val="18"/>
        </w:rPr>
        <w:tab/>
        <w:t>(1)  "Distance learning" means the acquisition of knowledge and skills through information and instruction encompassing all technologies and other forms of learning at a distance including internet, audio and visual recordings, mail, or other correspondence.</w:t>
      </w:r>
    </w:p>
    <w:p w14:paraId="2954714A" w14:textId="6ADEAD80" w:rsidR="00EA0A63" w:rsidRPr="005E6687" w:rsidRDefault="00EA0A63" w:rsidP="00EA0A63">
      <w:pPr>
        <w:widowControl/>
        <w:suppressAutoHyphens/>
        <w:rPr>
          <w:sz w:val="18"/>
        </w:rPr>
      </w:pPr>
      <w:r w:rsidRPr="005E6687">
        <w:rPr>
          <w:sz w:val="18"/>
        </w:rPr>
        <w:tab/>
        <w:t>(2)  "Qualified professional continuing education" means professional continuing education that meets the standards under Section R156-20b-304.</w:t>
      </w:r>
    </w:p>
    <w:p w14:paraId="278AE91E" w14:textId="77777777" w:rsidR="00EA0A63" w:rsidRPr="005E6687" w:rsidRDefault="00EA0A63" w:rsidP="00EA0A63">
      <w:pPr>
        <w:widowControl/>
        <w:suppressAutoHyphens/>
        <w:rPr>
          <w:sz w:val="18"/>
        </w:rPr>
      </w:pPr>
      <w:r w:rsidRPr="005E6687">
        <w:rPr>
          <w:sz w:val="18"/>
        </w:rPr>
        <w:tab/>
        <w:t>(3)  "NEHA" means the National Environmental Health Association.</w:t>
      </w:r>
    </w:p>
    <w:p w14:paraId="171DF772" w14:textId="0818E4FD" w:rsidR="00EA0A63" w:rsidRPr="005E6687" w:rsidRDefault="00EA0A63" w:rsidP="00EA0A63">
      <w:pPr>
        <w:widowControl/>
        <w:suppressAutoHyphens/>
        <w:rPr>
          <w:sz w:val="18"/>
        </w:rPr>
      </w:pPr>
      <w:r w:rsidRPr="005E6687">
        <w:rPr>
          <w:sz w:val="18"/>
        </w:rPr>
        <w:tab/>
        <w:t>(4)  "Unprofessional conduct" is further defined under Subsection 58-1-203(1)(e) and Section R156-20b-502.</w:t>
      </w:r>
    </w:p>
    <w:p w14:paraId="491327BC" w14:textId="77777777" w:rsidR="00EA0A63" w:rsidRPr="005E6687" w:rsidRDefault="00EA0A63" w:rsidP="00EA0A63">
      <w:pPr>
        <w:widowControl/>
        <w:suppressAutoHyphens/>
        <w:rPr>
          <w:sz w:val="18"/>
        </w:rPr>
      </w:pPr>
    </w:p>
    <w:p w14:paraId="7EE824B2" w14:textId="77777777" w:rsidR="00EA0A63" w:rsidRPr="005E6687" w:rsidRDefault="00EA0A63" w:rsidP="00EA0A63">
      <w:pPr>
        <w:widowControl/>
        <w:suppressAutoHyphens/>
        <w:rPr>
          <w:sz w:val="18"/>
        </w:rPr>
      </w:pPr>
      <w:r w:rsidRPr="005E6687">
        <w:rPr>
          <w:b/>
          <w:bCs/>
          <w:sz w:val="18"/>
        </w:rPr>
        <w:t>R156-20b-302a.  Qualifications for Licensure - Education Requirements.</w:t>
      </w:r>
    </w:p>
    <w:p w14:paraId="50BEA76A" w14:textId="63E13B8E" w:rsidR="00EA0A63" w:rsidRPr="005E6687" w:rsidRDefault="00EA0A63" w:rsidP="00EA0A63">
      <w:pPr>
        <w:widowControl/>
        <w:suppressAutoHyphens/>
        <w:rPr>
          <w:sz w:val="18"/>
        </w:rPr>
      </w:pPr>
      <w:r w:rsidRPr="005E6687">
        <w:rPr>
          <w:sz w:val="18"/>
        </w:rPr>
        <w:tab/>
        <w:t>(1)  Under Subsections 58-20b-302(1)(c) and (2)(c), an applicant for licensure shall submit evidence of a bachelor's degree or higher.</w:t>
      </w:r>
    </w:p>
    <w:p w14:paraId="3D29615A" w14:textId="4C55F741" w:rsidR="00EA0A63" w:rsidRPr="005E6687" w:rsidRDefault="00EA0A63" w:rsidP="00EA0A63">
      <w:pPr>
        <w:widowControl/>
        <w:suppressAutoHyphens/>
        <w:rPr>
          <w:sz w:val="18"/>
        </w:rPr>
      </w:pPr>
      <w:r w:rsidRPr="005E6687">
        <w:rPr>
          <w:sz w:val="18"/>
        </w:rPr>
        <w:tab/>
        <w:t>(2)  If the applicant's degree is from a college or university in a jurisdiction outside of the United States or its territories, the applicant shall submit evidence that the degree is the educational equivalent to the degree required under Subsection (1) as determined by an evaluation service that is a current member of the National Association of Credential Evaluation Services (NACES).</w:t>
      </w:r>
    </w:p>
    <w:p w14:paraId="0A657FC7" w14:textId="77777777" w:rsidR="00EA0A63" w:rsidRPr="005E6687" w:rsidRDefault="00EA0A63" w:rsidP="00EA0A63">
      <w:pPr>
        <w:widowControl/>
        <w:suppressAutoHyphens/>
        <w:rPr>
          <w:sz w:val="18"/>
        </w:rPr>
      </w:pPr>
    </w:p>
    <w:p w14:paraId="72E3B3C8" w14:textId="77777777" w:rsidR="00EA0A63" w:rsidRPr="005E6687" w:rsidRDefault="00EA0A63" w:rsidP="00EA0A63">
      <w:pPr>
        <w:widowControl/>
        <w:suppressAutoHyphens/>
        <w:rPr>
          <w:sz w:val="18"/>
        </w:rPr>
      </w:pPr>
      <w:r w:rsidRPr="005E6687">
        <w:rPr>
          <w:b/>
          <w:bCs/>
          <w:sz w:val="18"/>
        </w:rPr>
        <w:t>R156-20b-302b.  Qualifications for Licensure - Examination Requirement.</w:t>
      </w:r>
    </w:p>
    <w:p w14:paraId="34974E8E" w14:textId="09D550E7" w:rsidR="00EA0A63" w:rsidRPr="005E6687" w:rsidRDefault="00EA0A63" w:rsidP="00EA0A63">
      <w:pPr>
        <w:widowControl/>
        <w:suppressAutoHyphens/>
        <w:rPr>
          <w:sz w:val="18"/>
        </w:rPr>
      </w:pPr>
      <w:r w:rsidRPr="005E6687">
        <w:rPr>
          <w:sz w:val="18"/>
        </w:rPr>
        <w:tab/>
        <w:t>(1)  Under Subsection 58-20b-302(1)(d), an applicant shall satisfy the examination requirement by passing the Registered Environmental Health Specialist/Registered Sanitarian (REHS/RS) Examination administered by the NEHA.</w:t>
      </w:r>
    </w:p>
    <w:p w14:paraId="2BAD5D20" w14:textId="77777777" w:rsidR="00EA0A63" w:rsidRPr="005E6687" w:rsidRDefault="00EA0A63" w:rsidP="00EA0A63">
      <w:pPr>
        <w:widowControl/>
        <w:suppressAutoHyphens/>
        <w:rPr>
          <w:sz w:val="18"/>
        </w:rPr>
      </w:pPr>
      <w:r w:rsidRPr="005E6687">
        <w:rPr>
          <w:sz w:val="18"/>
        </w:rPr>
        <w:tab/>
        <w:t>(2)  The applicant shall contact the NEHA to request that the applicant's official passing score report be sent directly to the Division.</w:t>
      </w:r>
    </w:p>
    <w:p w14:paraId="34DA6FAA" w14:textId="77777777" w:rsidR="00EA0A63" w:rsidRPr="005E6687" w:rsidRDefault="00EA0A63" w:rsidP="00EA0A63">
      <w:pPr>
        <w:widowControl/>
        <w:suppressAutoHyphens/>
        <w:rPr>
          <w:sz w:val="18"/>
        </w:rPr>
      </w:pPr>
    </w:p>
    <w:p w14:paraId="3AFA9AD5" w14:textId="77777777" w:rsidR="00EA0A63" w:rsidRPr="005E6687" w:rsidRDefault="00EA0A63" w:rsidP="00EA0A63">
      <w:pPr>
        <w:widowControl/>
        <w:suppressAutoHyphens/>
        <w:rPr>
          <w:sz w:val="18"/>
        </w:rPr>
      </w:pPr>
      <w:r w:rsidRPr="005E6687">
        <w:rPr>
          <w:b/>
          <w:bCs/>
          <w:sz w:val="18"/>
        </w:rPr>
        <w:t>R156-20b-302c.  Qualifications for Licensure - Supervision Requirements.</w:t>
      </w:r>
    </w:p>
    <w:p w14:paraId="3B12C18F" w14:textId="0106175D" w:rsidR="00EA0A63" w:rsidRPr="005E6687" w:rsidRDefault="00EA0A63" w:rsidP="00EA0A63">
      <w:pPr>
        <w:widowControl/>
        <w:suppressAutoHyphens/>
        <w:rPr>
          <w:sz w:val="18"/>
        </w:rPr>
      </w:pPr>
      <w:r w:rsidRPr="005E6687">
        <w:rPr>
          <w:sz w:val="18"/>
        </w:rPr>
        <w:tab/>
        <w:t>Under Subsections 58-1-203(1)(b) and 58-20b-302(2)(e), an applicant licensed as an environmental health scientist-in-training shall practice under the general supervision of a licensed environmental health scientist for at least six months.</w:t>
      </w:r>
    </w:p>
    <w:p w14:paraId="59985F2B" w14:textId="77777777" w:rsidR="00EA0A63" w:rsidRPr="005E6687" w:rsidRDefault="00EA0A63" w:rsidP="00EA0A63">
      <w:pPr>
        <w:widowControl/>
        <w:suppressAutoHyphens/>
        <w:rPr>
          <w:sz w:val="18"/>
        </w:rPr>
      </w:pPr>
    </w:p>
    <w:p w14:paraId="4587D4C1" w14:textId="77777777" w:rsidR="00EA0A63" w:rsidRPr="005E6687" w:rsidRDefault="00EA0A63" w:rsidP="00EA0A63">
      <w:pPr>
        <w:widowControl/>
        <w:suppressAutoHyphens/>
        <w:rPr>
          <w:sz w:val="18"/>
        </w:rPr>
      </w:pPr>
      <w:r w:rsidRPr="005E6687">
        <w:rPr>
          <w:b/>
          <w:bCs/>
          <w:sz w:val="18"/>
        </w:rPr>
        <w:t>R156-20b-303.  Renewal Cycle - Procedures.</w:t>
      </w:r>
    </w:p>
    <w:p w14:paraId="06F9CBAE" w14:textId="5B941AB6" w:rsidR="00EA0A63" w:rsidRPr="005E6687" w:rsidRDefault="00EA0A63" w:rsidP="00EA0A63">
      <w:pPr>
        <w:widowControl/>
        <w:suppressAutoHyphens/>
        <w:rPr>
          <w:sz w:val="18"/>
        </w:rPr>
      </w:pPr>
      <w:r w:rsidRPr="005E6687">
        <w:rPr>
          <w:sz w:val="18"/>
        </w:rPr>
        <w:tab/>
        <w:t>(1)  Under Subsection 58-1-308(1)(a), the renewal date for the two-year renewal cycle applicable to licensees under Title 58, Chapter 20b, Environmental Health Scientist Act, is established in Section R156-1-308a.</w:t>
      </w:r>
    </w:p>
    <w:p w14:paraId="38078457" w14:textId="5BD1B0D3" w:rsidR="00EA0A63" w:rsidRPr="005E6687" w:rsidRDefault="00EA0A63" w:rsidP="00EA0A63">
      <w:pPr>
        <w:widowControl/>
        <w:suppressAutoHyphens/>
        <w:rPr>
          <w:sz w:val="18"/>
          <w:szCs w:val="32"/>
        </w:rPr>
      </w:pPr>
      <w:r w:rsidRPr="005E6687">
        <w:rPr>
          <w:sz w:val="18"/>
        </w:rPr>
        <w:tab/>
        <w:t>(2)  Renewal procedures shall be in accordance with Sections R156-1-308a through R156-1-308l.</w:t>
      </w:r>
    </w:p>
    <w:p w14:paraId="136CC4F1" w14:textId="77777777" w:rsidR="00EA0A63" w:rsidRPr="005E6687" w:rsidRDefault="00EA0A63" w:rsidP="00EA0A63">
      <w:pPr>
        <w:widowControl/>
        <w:suppressAutoHyphens/>
        <w:rPr>
          <w:sz w:val="18"/>
        </w:rPr>
      </w:pPr>
    </w:p>
    <w:p w14:paraId="4ECC0207" w14:textId="77777777" w:rsidR="00EA0A63" w:rsidRPr="005E6687" w:rsidRDefault="00EA0A63" w:rsidP="00EA0A63">
      <w:pPr>
        <w:widowControl/>
        <w:suppressAutoHyphens/>
        <w:rPr>
          <w:sz w:val="18"/>
        </w:rPr>
      </w:pPr>
      <w:r w:rsidRPr="005E6687">
        <w:rPr>
          <w:b/>
          <w:bCs/>
          <w:sz w:val="18"/>
        </w:rPr>
        <w:t>R156-20b-304.  Professional Continuing Education.</w:t>
      </w:r>
    </w:p>
    <w:p w14:paraId="0376B464" w14:textId="4420A6BE" w:rsidR="00EA0A63" w:rsidRPr="005E6687" w:rsidRDefault="00EA0A63" w:rsidP="00EA0A63">
      <w:pPr>
        <w:widowControl/>
        <w:suppressAutoHyphens/>
        <w:rPr>
          <w:sz w:val="18"/>
        </w:rPr>
      </w:pPr>
      <w:r w:rsidRPr="005E6687">
        <w:rPr>
          <w:sz w:val="18"/>
        </w:rPr>
        <w:tab/>
        <w:t>(1)  Under Section 58-20b-304, during each two-year renewal period commencing June 1 of each odd numbered year, an environmental health scientist licensee or environmental health scientist-in-training licensee shall complete at least 30 hours of qualified professional continuing education directly related to the licensee's professional practice.</w:t>
      </w:r>
    </w:p>
    <w:p w14:paraId="7BF31EBD" w14:textId="33A9AE5A" w:rsidR="00EA0A63" w:rsidRPr="005E6687" w:rsidRDefault="00EA0A63" w:rsidP="00EA0A63">
      <w:pPr>
        <w:widowControl/>
        <w:suppressAutoHyphens/>
        <w:rPr>
          <w:sz w:val="18"/>
        </w:rPr>
      </w:pPr>
      <w:r w:rsidRPr="005E6687">
        <w:rPr>
          <w:sz w:val="18"/>
        </w:rPr>
        <w:tab/>
        <w:t>(2)  If an individual first becomes licensed during the two-year renewal cycle, the individual's required number of continuing education hours shall be increased or decreased proportionately according to the date of licensure.</w:t>
      </w:r>
    </w:p>
    <w:p w14:paraId="38EF44A1" w14:textId="0F9278AE" w:rsidR="00EA0A63" w:rsidRPr="005E6687" w:rsidRDefault="00EA0A63" w:rsidP="00EA0A63">
      <w:pPr>
        <w:widowControl/>
        <w:suppressAutoHyphens/>
        <w:rPr>
          <w:sz w:val="18"/>
        </w:rPr>
      </w:pPr>
      <w:r w:rsidRPr="005E6687">
        <w:rPr>
          <w:sz w:val="18"/>
        </w:rPr>
        <w:tab/>
        <w:t>(3)  Qualified professional continuing education shall:</w:t>
      </w:r>
    </w:p>
    <w:p w14:paraId="4E2893A7" w14:textId="77777777" w:rsidR="00EA0A63" w:rsidRPr="005E6687" w:rsidRDefault="00EA0A63" w:rsidP="00EA0A63">
      <w:pPr>
        <w:widowControl/>
        <w:suppressAutoHyphens/>
        <w:rPr>
          <w:sz w:val="18"/>
        </w:rPr>
      </w:pPr>
      <w:r w:rsidRPr="005E6687">
        <w:rPr>
          <w:sz w:val="18"/>
        </w:rPr>
        <w:tab/>
        <w:t>(a)  have an identifiable clear statement of purpose and defined objective for the educational program that is directly related to the practice of an environmental health scientist;</w:t>
      </w:r>
    </w:p>
    <w:p w14:paraId="05B54C3B" w14:textId="77777777" w:rsidR="00EA0A63" w:rsidRPr="005E6687" w:rsidRDefault="00EA0A63" w:rsidP="00EA0A63">
      <w:pPr>
        <w:widowControl/>
        <w:suppressAutoHyphens/>
        <w:rPr>
          <w:sz w:val="18"/>
        </w:rPr>
      </w:pPr>
      <w:r w:rsidRPr="005E6687">
        <w:rPr>
          <w:sz w:val="18"/>
        </w:rPr>
        <w:tab/>
        <w:t>(b)  be relevant to the licensee's professional practice;</w:t>
      </w:r>
    </w:p>
    <w:p w14:paraId="173A2FC1" w14:textId="012C77B8" w:rsidR="00EA0A63" w:rsidRPr="005E6687" w:rsidRDefault="00EA0A63" w:rsidP="00EA0A63">
      <w:pPr>
        <w:widowControl/>
        <w:suppressAutoHyphens/>
        <w:rPr>
          <w:sz w:val="18"/>
        </w:rPr>
      </w:pPr>
      <w:r w:rsidRPr="005E6687">
        <w:rPr>
          <w:sz w:val="18"/>
        </w:rPr>
        <w:tab/>
        <w:t>(c)  be presented in a competent, well-organized, and sequential manner consistent with the stated purpose and objective of the program;</w:t>
      </w:r>
    </w:p>
    <w:p w14:paraId="2E46BB0F" w14:textId="77777777" w:rsidR="00EA0A63" w:rsidRPr="005E6687" w:rsidRDefault="00EA0A63" w:rsidP="00EA0A63">
      <w:pPr>
        <w:widowControl/>
        <w:suppressAutoHyphens/>
        <w:rPr>
          <w:sz w:val="18"/>
        </w:rPr>
      </w:pPr>
      <w:r w:rsidRPr="005E6687">
        <w:rPr>
          <w:sz w:val="18"/>
        </w:rPr>
        <w:tab/>
        <w:t>(d)  be prepared and presented by individuals who are qualified by education, training, and experience; and</w:t>
      </w:r>
    </w:p>
    <w:p w14:paraId="6A82EDE9" w14:textId="1EA54444" w:rsidR="00EA0A63" w:rsidRPr="005E6687" w:rsidRDefault="00EA0A63" w:rsidP="00EA0A63">
      <w:pPr>
        <w:widowControl/>
        <w:suppressAutoHyphens/>
        <w:rPr>
          <w:sz w:val="18"/>
        </w:rPr>
      </w:pPr>
      <w:r w:rsidRPr="005E6687">
        <w:rPr>
          <w:sz w:val="18"/>
        </w:rPr>
        <w:tab/>
        <w:t>(e)  have records of registration and completion available for review.</w:t>
      </w:r>
    </w:p>
    <w:p w14:paraId="3BEDFE14" w14:textId="4538A5D1" w:rsidR="00EA0A63" w:rsidRPr="005E6687" w:rsidRDefault="00EA0A63" w:rsidP="00EA0A63">
      <w:pPr>
        <w:widowControl/>
        <w:suppressAutoHyphens/>
        <w:rPr>
          <w:sz w:val="18"/>
        </w:rPr>
      </w:pPr>
      <w:r w:rsidRPr="005E6687">
        <w:rPr>
          <w:sz w:val="18"/>
        </w:rPr>
        <w:tab/>
        <w:t>(4)  Credit for professional continuing education shall be:</w:t>
      </w:r>
    </w:p>
    <w:p w14:paraId="34391777" w14:textId="77777777" w:rsidR="00EA0A63" w:rsidRPr="005E6687" w:rsidRDefault="00EA0A63" w:rsidP="00EA0A63">
      <w:pPr>
        <w:widowControl/>
        <w:suppressAutoHyphens/>
        <w:rPr>
          <w:sz w:val="18"/>
        </w:rPr>
      </w:pPr>
      <w:r w:rsidRPr="005E6687">
        <w:rPr>
          <w:sz w:val="18"/>
        </w:rPr>
        <w:tab/>
        <w:t>(a)  completed in blocks of time of not less than 50 minutes;</w:t>
      </w:r>
    </w:p>
    <w:p w14:paraId="0D45EDAD" w14:textId="77777777" w:rsidR="00EA0A63" w:rsidRPr="005E6687" w:rsidRDefault="00EA0A63" w:rsidP="00EA0A63">
      <w:pPr>
        <w:widowControl/>
        <w:suppressAutoHyphens/>
        <w:rPr>
          <w:sz w:val="18"/>
        </w:rPr>
      </w:pPr>
      <w:r w:rsidRPr="005E6687">
        <w:rPr>
          <w:sz w:val="18"/>
        </w:rPr>
        <w:tab/>
        <w:t>(b)  completed through at least one of the following formats:</w:t>
      </w:r>
    </w:p>
    <w:p w14:paraId="4EBBB73A" w14:textId="77777777" w:rsidR="00EA0A63" w:rsidRPr="005E6687" w:rsidRDefault="00EA0A63" w:rsidP="00EA0A63">
      <w:pPr>
        <w:widowControl/>
        <w:suppressAutoHyphens/>
        <w:rPr>
          <w:sz w:val="18"/>
        </w:rPr>
      </w:pPr>
      <w:r w:rsidRPr="005E6687">
        <w:rPr>
          <w:sz w:val="18"/>
        </w:rPr>
        <w:tab/>
        <w:t>(i)  a college or university lecture and discussion;</w:t>
      </w:r>
    </w:p>
    <w:p w14:paraId="1270FA73" w14:textId="77777777" w:rsidR="00EA0A63" w:rsidRPr="005E6687" w:rsidRDefault="00EA0A63" w:rsidP="00EA0A63">
      <w:pPr>
        <w:widowControl/>
        <w:suppressAutoHyphens/>
        <w:rPr>
          <w:sz w:val="18"/>
        </w:rPr>
      </w:pPr>
      <w:r w:rsidRPr="005E6687">
        <w:rPr>
          <w:sz w:val="18"/>
        </w:rPr>
        <w:tab/>
        <w:t>(ii)  a professional conference;</w:t>
      </w:r>
    </w:p>
    <w:p w14:paraId="1344C11B" w14:textId="77777777" w:rsidR="00EA0A63" w:rsidRPr="005E6687" w:rsidRDefault="00EA0A63" w:rsidP="00EA0A63">
      <w:pPr>
        <w:widowControl/>
        <w:suppressAutoHyphens/>
        <w:rPr>
          <w:sz w:val="18"/>
        </w:rPr>
      </w:pPr>
      <w:r w:rsidRPr="005E6687">
        <w:rPr>
          <w:sz w:val="18"/>
        </w:rPr>
        <w:tab/>
        <w:t>(iii)  a seminar;</w:t>
      </w:r>
    </w:p>
    <w:p w14:paraId="4FB0EC8B" w14:textId="77777777" w:rsidR="00EA0A63" w:rsidRPr="005E6687" w:rsidRDefault="00EA0A63" w:rsidP="00EA0A63">
      <w:pPr>
        <w:widowControl/>
        <w:suppressAutoHyphens/>
        <w:rPr>
          <w:sz w:val="18"/>
        </w:rPr>
      </w:pPr>
      <w:r w:rsidRPr="005E6687">
        <w:rPr>
          <w:sz w:val="18"/>
        </w:rPr>
        <w:lastRenderedPageBreak/>
        <w:tab/>
        <w:t>(iv)  a training session;</w:t>
      </w:r>
    </w:p>
    <w:p w14:paraId="516F7220" w14:textId="77777777" w:rsidR="00EA0A63" w:rsidRPr="005E6687" w:rsidRDefault="00EA0A63" w:rsidP="00EA0A63">
      <w:pPr>
        <w:widowControl/>
        <w:suppressAutoHyphens/>
        <w:rPr>
          <w:sz w:val="18"/>
        </w:rPr>
      </w:pPr>
      <w:r w:rsidRPr="005E6687">
        <w:rPr>
          <w:sz w:val="18"/>
        </w:rPr>
        <w:tab/>
        <w:t>(v)  a synchronous webinar;</w:t>
      </w:r>
    </w:p>
    <w:p w14:paraId="3B7A2977" w14:textId="77777777" w:rsidR="00EA0A63" w:rsidRPr="005E6687" w:rsidRDefault="00EA0A63" w:rsidP="00EA0A63">
      <w:pPr>
        <w:widowControl/>
        <w:suppressAutoHyphens/>
        <w:rPr>
          <w:sz w:val="18"/>
        </w:rPr>
      </w:pPr>
      <w:r w:rsidRPr="005E6687">
        <w:rPr>
          <w:sz w:val="18"/>
        </w:rPr>
        <w:tab/>
        <w:t>(vi)  an asynchronous online self-pace module;</w:t>
      </w:r>
    </w:p>
    <w:p w14:paraId="58958D06" w14:textId="77777777" w:rsidR="00EA0A63" w:rsidRPr="005E6687" w:rsidRDefault="00EA0A63" w:rsidP="00EA0A63">
      <w:pPr>
        <w:widowControl/>
        <w:suppressAutoHyphens/>
        <w:rPr>
          <w:sz w:val="18"/>
        </w:rPr>
      </w:pPr>
      <w:r w:rsidRPr="005E6687">
        <w:rPr>
          <w:sz w:val="18"/>
        </w:rPr>
        <w:tab/>
        <w:t>(vii)  a lab; and</w:t>
      </w:r>
    </w:p>
    <w:p w14:paraId="7C50145D" w14:textId="77777777" w:rsidR="00EA0A63" w:rsidRPr="005E6687" w:rsidRDefault="00EA0A63" w:rsidP="00EA0A63">
      <w:pPr>
        <w:widowControl/>
        <w:suppressAutoHyphens/>
        <w:rPr>
          <w:sz w:val="18"/>
        </w:rPr>
      </w:pPr>
      <w:r w:rsidRPr="005E6687">
        <w:rPr>
          <w:sz w:val="18"/>
        </w:rPr>
        <w:tab/>
        <w:t>(c)  approved, taught, or sponsored by one of the following:</w:t>
      </w:r>
    </w:p>
    <w:p w14:paraId="272A3749" w14:textId="293E16D9" w:rsidR="00EA0A63" w:rsidRPr="005E6687" w:rsidRDefault="00EA0A63" w:rsidP="00EA0A63">
      <w:pPr>
        <w:widowControl/>
        <w:suppressAutoHyphens/>
        <w:rPr>
          <w:sz w:val="18"/>
        </w:rPr>
      </w:pPr>
      <w:r w:rsidRPr="005E6687">
        <w:rPr>
          <w:sz w:val="18"/>
        </w:rPr>
        <w:tab/>
        <w:t>(i)  the Utah Environmental Health Association;</w:t>
      </w:r>
    </w:p>
    <w:p w14:paraId="1997BCF8" w14:textId="4DFF4717" w:rsidR="00EA0A63" w:rsidRPr="005E6687" w:rsidRDefault="00EA0A63" w:rsidP="00EA0A63">
      <w:pPr>
        <w:widowControl/>
        <w:suppressAutoHyphens/>
        <w:rPr>
          <w:sz w:val="18"/>
        </w:rPr>
      </w:pPr>
      <w:r w:rsidRPr="005E6687">
        <w:rPr>
          <w:sz w:val="18"/>
        </w:rPr>
        <w:tab/>
        <w:t>(ii)  the Bureau of Environmental Services;</w:t>
      </w:r>
    </w:p>
    <w:p w14:paraId="6D393A93" w14:textId="55572967" w:rsidR="00EA0A63" w:rsidRPr="005E6687" w:rsidRDefault="00EA0A63" w:rsidP="00EA0A63">
      <w:pPr>
        <w:widowControl/>
        <w:suppressAutoHyphens/>
        <w:rPr>
          <w:sz w:val="18"/>
        </w:rPr>
      </w:pPr>
      <w:r w:rsidRPr="005E6687">
        <w:rPr>
          <w:sz w:val="18"/>
        </w:rPr>
        <w:tab/>
        <w:t>(iii)  the Utah Department of Environmental Quality;</w:t>
      </w:r>
    </w:p>
    <w:p w14:paraId="47891A5B" w14:textId="0BDC2B6A" w:rsidR="00EA0A63" w:rsidRPr="005E6687" w:rsidRDefault="00EA0A63" w:rsidP="00EA0A63">
      <w:pPr>
        <w:widowControl/>
        <w:suppressAutoHyphens/>
        <w:rPr>
          <w:sz w:val="18"/>
        </w:rPr>
      </w:pPr>
      <w:r w:rsidRPr="005E6687">
        <w:rPr>
          <w:sz w:val="18"/>
        </w:rPr>
        <w:tab/>
        <w:t>(iv)  the Bureau of Epidemiology;</w:t>
      </w:r>
    </w:p>
    <w:p w14:paraId="71C4DFC2" w14:textId="187A3091" w:rsidR="00EA0A63" w:rsidRPr="005E6687" w:rsidRDefault="00EA0A63" w:rsidP="00EA0A63">
      <w:pPr>
        <w:widowControl/>
        <w:suppressAutoHyphens/>
        <w:rPr>
          <w:sz w:val="18"/>
        </w:rPr>
      </w:pPr>
      <w:r w:rsidRPr="005E6687">
        <w:rPr>
          <w:sz w:val="18"/>
        </w:rPr>
        <w:tab/>
        <w:t>(v)  the State Food Program;</w:t>
      </w:r>
    </w:p>
    <w:p w14:paraId="28C9195A" w14:textId="50AFCB2F" w:rsidR="00EA0A63" w:rsidRPr="005E6687" w:rsidRDefault="00EA0A63" w:rsidP="00EA0A63">
      <w:pPr>
        <w:widowControl/>
        <w:suppressAutoHyphens/>
        <w:rPr>
          <w:sz w:val="18"/>
        </w:rPr>
      </w:pPr>
      <w:r w:rsidRPr="005E6687">
        <w:rPr>
          <w:sz w:val="18"/>
        </w:rPr>
        <w:tab/>
        <w:t>(vi)  the NEHA;</w:t>
      </w:r>
    </w:p>
    <w:p w14:paraId="45DE5F8C" w14:textId="0312A890" w:rsidR="00EA0A63" w:rsidRPr="005E6687" w:rsidRDefault="00EA0A63" w:rsidP="00EA0A63">
      <w:pPr>
        <w:widowControl/>
        <w:suppressAutoHyphens/>
        <w:rPr>
          <w:sz w:val="18"/>
        </w:rPr>
      </w:pPr>
      <w:r w:rsidRPr="005E6687">
        <w:rPr>
          <w:sz w:val="18"/>
        </w:rPr>
        <w:tab/>
        <w:t>(vii)  the Food and Drug Administration;</w:t>
      </w:r>
    </w:p>
    <w:p w14:paraId="7F044D21" w14:textId="7DD951A8" w:rsidR="00EA0A63" w:rsidRPr="005E6687" w:rsidRDefault="00EA0A63" w:rsidP="00EA0A63">
      <w:pPr>
        <w:widowControl/>
        <w:suppressAutoHyphens/>
        <w:rPr>
          <w:sz w:val="18"/>
        </w:rPr>
      </w:pPr>
      <w:r w:rsidRPr="005E6687">
        <w:rPr>
          <w:sz w:val="18"/>
        </w:rPr>
        <w:tab/>
        <w:t>(viii)  the Center for Disease Control and Prevention;</w:t>
      </w:r>
    </w:p>
    <w:p w14:paraId="630FF1EF" w14:textId="77777777" w:rsidR="00EA0A63" w:rsidRPr="005E6687" w:rsidRDefault="00EA0A63" w:rsidP="00EA0A63">
      <w:pPr>
        <w:widowControl/>
        <w:suppressAutoHyphens/>
        <w:rPr>
          <w:sz w:val="18"/>
        </w:rPr>
      </w:pPr>
      <w:r w:rsidRPr="005E6687">
        <w:rPr>
          <w:sz w:val="18"/>
        </w:rPr>
        <w:tab/>
        <w:t>(ix)  the Association of Food and Drug Officials;</w:t>
      </w:r>
    </w:p>
    <w:p w14:paraId="75C13CE8" w14:textId="77777777" w:rsidR="00EA0A63" w:rsidRPr="005E6687" w:rsidRDefault="00EA0A63" w:rsidP="00EA0A63">
      <w:pPr>
        <w:widowControl/>
        <w:suppressAutoHyphens/>
        <w:rPr>
          <w:sz w:val="18"/>
        </w:rPr>
      </w:pPr>
      <w:r w:rsidRPr="005E6687">
        <w:rPr>
          <w:sz w:val="18"/>
        </w:rPr>
        <w:tab/>
        <w:t>(x)  the Pool &amp; Hot Tub Alliance;</w:t>
      </w:r>
    </w:p>
    <w:p w14:paraId="114A7D61" w14:textId="77777777" w:rsidR="00EA0A63" w:rsidRPr="005E6687" w:rsidRDefault="00EA0A63" w:rsidP="00EA0A63">
      <w:pPr>
        <w:widowControl/>
        <w:suppressAutoHyphens/>
        <w:rPr>
          <w:sz w:val="18"/>
        </w:rPr>
      </w:pPr>
      <w:r w:rsidRPr="005E6687">
        <w:rPr>
          <w:sz w:val="18"/>
        </w:rPr>
        <w:tab/>
        <w:t>(xi)  the National Onsite Wastewater Recycling Association;</w:t>
      </w:r>
    </w:p>
    <w:p w14:paraId="71B8B7B2" w14:textId="77777777" w:rsidR="00EA0A63" w:rsidRPr="005E6687" w:rsidRDefault="00EA0A63" w:rsidP="00EA0A63">
      <w:pPr>
        <w:widowControl/>
        <w:suppressAutoHyphens/>
        <w:rPr>
          <w:sz w:val="18"/>
        </w:rPr>
      </w:pPr>
      <w:r w:rsidRPr="005E6687">
        <w:rPr>
          <w:sz w:val="18"/>
        </w:rPr>
        <w:tab/>
        <w:t>(xii)  the Rural Water Association of Utah;</w:t>
      </w:r>
    </w:p>
    <w:p w14:paraId="566C101D" w14:textId="77777777" w:rsidR="00EA0A63" w:rsidRPr="005E6687" w:rsidRDefault="00EA0A63" w:rsidP="00EA0A63">
      <w:pPr>
        <w:widowControl/>
        <w:suppressAutoHyphens/>
        <w:rPr>
          <w:sz w:val="18"/>
        </w:rPr>
      </w:pPr>
      <w:r w:rsidRPr="005E6687">
        <w:rPr>
          <w:sz w:val="18"/>
        </w:rPr>
        <w:tab/>
        <w:t>(xiii)  the Utah Onsite Wastewater Association;</w:t>
      </w:r>
    </w:p>
    <w:p w14:paraId="0AB30A78" w14:textId="2325E7EA" w:rsidR="00EA0A63" w:rsidRPr="005E6687" w:rsidRDefault="00EA0A63" w:rsidP="00EA0A63">
      <w:pPr>
        <w:widowControl/>
        <w:suppressAutoHyphens/>
        <w:rPr>
          <w:sz w:val="18"/>
        </w:rPr>
      </w:pPr>
      <w:r w:rsidRPr="005E6687">
        <w:rPr>
          <w:sz w:val="18"/>
        </w:rPr>
        <w:tab/>
        <w:t>(xiv)  a local, state, or federal agency; or</w:t>
      </w:r>
    </w:p>
    <w:p w14:paraId="11A56095" w14:textId="01EFE1ED" w:rsidR="00EA0A63" w:rsidRPr="005E6687" w:rsidRDefault="00EA0A63" w:rsidP="00EA0A63">
      <w:pPr>
        <w:widowControl/>
        <w:suppressAutoHyphens/>
        <w:rPr>
          <w:sz w:val="18"/>
        </w:rPr>
      </w:pPr>
      <w:r w:rsidRPr="005E6687">
        <w:rPr>
          <w:sz w:val="18"/>
        </w:rPr>
        <w:tab/>
        <w:t>(xv)  a college or university that provides courses in or related to environmental health science.</w:t>
      </w:r>
    </w:p>
    <w:p w14:paraId="1076F672" w14:textId="1F5EB6FC" w:rsidR="00EA0A63" w:rsidRPr="005E6687" w:rsidRDefault="00EA0A63" w:rsidP="00EA0A63">
      <w:pPr>
        <w:widowControl/>
        <w:suppressAutoHyphens/>
        <w:rPr>
          <w:sz w:val="18"/>
        </w:rPr>
      </w:pPr>
      <w:r w:rsidRPr="005E6687">
        <w:rPr>
          <w:sz w:val="18"/>
        </w:rPr>
        <w:tab/>
        <w:t>(5)(a)  Up to 15 hours of credit may be recognized for a licensee who teaches a continuing professional education course relevant to environmental health that meets the requirements of this section.</w:t>
      </w:r>
    </w:p>
    <w:p w14:paraId="3ED91D60" w14:textId="77777777" w:rsidR="00EA0A63" w:rsidRPr="005E6687" w:rsidRDefault="00EA0A63" w:rsidP="00EA0A63">
      <w:pPr>
        <w:widowControl/>
        <w:suppressAutoHyphens/>
        <w:rPr>
          <w:sz w:val="18"/>
        </w:rPr>
      </w:pPr>
      <w:r w:rsidRPr="005E6687">
        <w:rPr>
          <w:sz w:val="18"/>
        </w:rPr>
        <w:tab/>
        <w:t>(b)  One continuing education hour shall be awarded for each hour of teaching under Subsection (5)(a).</w:t>
      </w:r>
    </w:p>
    <w:p w14:paraId="2A48BAED" w14:textId="77777777" w:rsidR="00EA0A63" w:rsidRPr="005E6687" w:rsidRDefault="00EA0A63" w:rsidP="00EA0A63">
      <w:pPr>
        <w:widowControl/>
        <w:suppressAutoHyphens/>
        <w:rPr>
          <w:sz w:val="18"/>
        </w:rPr>
      </w:pPr>
      <w:r w:rsidRPr="005E6687">
        <w:rPr>
          <w:sz w:val="18"/>
        </w:rPr>
        <w:tab/>
        <w:t>(6)  Up to four hours of credit may be recognized for a licensee who is appointed as a board member to a local, state, or federal board that is related to the licensee's professional practice.</w:t>
      </w:r>
    </w:p>
    <w:p w14:paraId="4337E1C6" w14:textId="10AFBAD7" w:rsidR="00EA0A63" w:rsidRPr="005E6687" w:rsidRDefault="00EA0A63" w:rsidP="00EA0A63">
      <w:pPr>
        <w:widowControl/>
        <w:suppressAutoHyphens/>
        <w:rPr>
          <w:sz w:val="18"/>
        </w:rPr>
      </w:pPr>
      <w:r w:rsidRPr="005E6687">
        <w:rPr>
          <w:sz w:val="18"/>
        </w:rPr>
        <w:tab/>
        <w:t>(7)  A licensee shall maintain documentation sufficient to prove compliance with this section for a period of four years after the end of the renewal cycle for which the professional continuing education is due.</w:t>
      </w:r>
    </w:p>
    <w:p w14:paraId="51DD544D" w14:textId="43C975F8" w:rsidR="00EA0A63" w:rsidRPr="005E6687" w:rsidRDefault="00EA0A63" w:rsidP="00EA0A63">
      <w:pPr>
        <w:widowControl/>
        <w:suppressAutoHyphens/>
        <w:rPr>
          <w:sz w:val="18"/>
          <w:szCs w:val="32"/>
        </w:rPr>
      </w:pPr>
      <w:r w:rsidRPr="005E6687">
        <w:rPr>
          <w:sz w:val="18"/>
        </w:rPr>
        <w:tab/>
        <w:t xml:space="preserve">(8)  </w:t>
      </w:r>
      <w:r w:rsidRPr="005E6687">
        <w:rPr>
          <w:sz w:val="18"/>
          <w:szCs w:val="22"/>
        </w:rPr>
        <w:t>The Division may defer or waive continuing education requirements as provided in Section R156-1-308d.</w:t>
      </w:r>
    </w:p>
    <w:p w14:paraId="32F7F2FA" w14:textId="77777777" w:rsidR="00EA0A63" w:rsidRPr="005E6687" w:rsidRDefault="00EA0A63" w:rsidP="00EA0A63">
      <w:pPr>
        <w:widowControl/>
        <w:suppressAutoHyphens/>
        <w:rPr>
          <w:sz w:val="18"/>
        </w:rPr>
      </w:pPr>
    </w:p>
    <w:p w14:paraId="6D3134F6" w14:textId="77777777" w:rsidR="00EA0A63" w:rsidRPr="005E6687" w:rsidRDefault="00EA0A63" w:rsidP="00EA0A63">
      <w:pPr>
        <w:widowControl/>
        <w:suppressAutoHyphens/>
        <w:rPr>
          <w:sz w:val="18"/>
        </w:rPr>
      </w:pPr>
      <w:r w:rsidRPr="005E6687">
        <w:rPr>
          <w:b/>
          <w:bCs/>
          <w:sz w:val="18"/>
        </w:rPr>
        <w:t>R156-20b-502.  Unprofessional Conduct.</w:t>
      </w:r>
    </w:p>
    <w:p w14:paraId="13C9C0E6" w14:textId="77777777" w:rsidR="00EA0A63" w:rsidRPr="005E6687" w:rsidRDefault="00EA0A63" w:rsidP="00EA0A63">
      <w:pPr>
        <w:widowControl/>
        <w:suppressAutoHyphens/>
        <w:rPr>
          <w:sz w:val="18"/>
        </w:rPr>
      </w:pPr>
      <w:r w:rsidRPr="005E6687">
        <w:rPr>
          <w:sz w:val="18"/>
        </w:rPr>
        <w:tab/>
        <w:t>"Unprofessional conduct" includes:</w:t>
      </w:r>
    </w:p>
    <w:p w14:paraId="3DF9F106" w14:textId="22BF92DF" w:rsidR="00EA0A63" w:rsidRPr="005E6687" w:rsidRDefault="00EA0A63" w:rsidP="00EA0A63">
      <w:pPr>
        <w:widowControl/>
        <w:suppressAutoHyphens/>
        <w:rPr>
          <w:sz w:val="18"/>
        </w:rPr>
      </w:pPr>
      <w:r w:rsidRPr="005E6687">
        <w:rPr>
          <w:sz w:val="18"/>
        </w:rPr>
        <w:tab/>
        <w:t>(1)  failing to comply with the professional continuing education requirements in Section R156-20b-304; or</w:t>
      </w:r>
    </w:p>
    <w:p w14:paraId="38A0593C" w14:textId="2A723E71" w:rsidR="00EA0A63" w:rsidRPr="005E6687" w:rsidRDefault="00EA0A63" w:rsidP="00EA0A63">
      <w:pPr>
        <w:widowControl/>
        <w:suppressAutoHyphens/>
        <w:rPr>
          <w:sz w:val="18"/>
        </w:rPr>
      </w:pPr>
      <w:r w:rsidRPr="005E6687">
        <w:rPr>
          <w:sz w:val="18"/>
        </w:rPr>
        <w:tab/>
        <w:t>(2)  failing to provide general supervision as defined in Subsection 58-20b-102(3).</w:t>
      </w:r>
    </w:p>
    <w:p w14:paraId="7A8C1568" w14:textId="77777777" w:rsidR="00EA0A63" w:rsidRPr="005E6687" w:rsidRDefault="00EA0A63" w:rsidP="00EA0A63">
      <w:pPr>
        <w:widowControl/>
        <w:suppressAutoHyphens/>
        <w:rPr>
          <w:sz w:val="18"/>
        </w:rPr>
      </w:pPr>
    </w:p>
    <w:p w14:paraId="6B1E22FA" w14:textId="77777777" w:rsidR="00EA0A63" w:rsidRPr="005E6687" w:rsidRDefault="00EA0A63" w:rsidP="00EA0A63">
      <w:pPr>
        <w:widowControl/>
        <w:suppressAutoHyphens/>
        <w:rPr>
          <w:sz w:val="18"/>
        </w:rPr>
      </w:pPr>
      <w:r w:rsidRPr="005E6687">
        <w:rPr>
          <w:b/>
          <w:bCs/>
          <w:sz w:val="18"/>
        </w:rPr>
        <w:t>KEY:  licensing, environmental health scientist, sanitarian, environmental health scientist-in-training</w:t>
      </w:r>
    </w:p>
    <w:p w14:paraId="7E30B5BF" w14:textId="7BD24F30" w:rsidR="00EA0A63" w:rsidRPr="005E6687" w:rsidRDefault="00EA0A63" w:rsidP="00EA0A63">
      <w:pPr>
        <w:widowControl/>
        <w:suppressAutoHyphens/>
        <w:rPr>
          <w:bCs/>
          <w:sz w:val="18"/>
        </w:rPr>
      </w:pPr>
      <w:r w:rsidRPr="005E6687">
        <w:rPr>
          <w:b/>
          <w:bCs/>
          <w:sz w:val="18"/>
        </w:rPr>
        <w:t xml:space="preserve">Date of Last Change:  </w:t>
      </w:r>
      <w:r w:rsidR="00995EE9" w:rsidRPr="005E6687">
        <w:rPr>
          <w:b/>
          <w:bCs/>
          <w:sz w:val="18"/>
        </w:rPr>
        <w:t xml:space="preserve">September 23, </w:t>
      </w:r>
      <w:r w:rsidRPr="005E6687">
        <w:rPr>
          <w:b/>
          <w:bCs/>
          <w:sz w:val="18"/>
        </w:rPr>
        <w:t>2025</w:t>
      </w:r>
    </w:p>
    <w:p w14:paraId="2DB95401" w14:textId="77777777" w:rsidR="00EA0A63" w:rsidRPr="005E6687" w:rsidRDefault="00EA0A63" w:rsidP="00EA0A63">
      <w:pPr>
        <w:widowControl/>
        <w:suppressAutoHyphens/>
        <w:rPr>
          <w:bCs/>
          <w:sz w:val="18"/>
        </w:rPr>
      </w:pPr>
      <w:r w:rsidRPr="005E6687">
        <w:rPr>
          <w:b/>
          <w:bCs/>
          <w:sz w:val="18"/>
        </w:rPr>
        <w:t>Notice of Continuation:  March 7, 2025</w:t>
      </w:r>
    </w:p>
    <w:p w14:paraId="39D86854" w14:textId="77777777" w:rsidR="00EA0A63" w:rsidRPr="005E6687" w:rsidRDefault="00EA0A63" w:rsidP="00EA0A63">
      <w:pPr>
        <w:widowControl/>
        <w:suppressAutoHyphens/>
        <w:rPr>
          <w:sz w:val="18"/>
        </w:rPr>
      </w:pPr>
      <w:r w:rsidRPr="005E6687">
        <w:rPr>
          <w:b/>
          <w:bCs/>
          <w:sz w:val="18"/>
        </w:rPr>
        <w:t>Authorizing, and Implemented or Interpreted Law:  58-1-106(1)(a); 58-1-202(1)(a); 58-20b-101</w:t>
      </w:r>
    </w:p>
    <w:p w14:paraId="3E2740AC" w14:textId="77777777" w:rsidR="00EA0A63" w:rsidRPr="005E6687" w:rsidRDefault="00EA0A63" w:rsidP="00EA0A63">
      <w:pPr>
        <w:widowControl/>
        <w:suppressAutoHyphens/>
        <w:rPr>
          <w:sz w:val="18"/>
        </w:rPr>
      </w:pPr>
    </w:p>
    <w:p w14:paraId="5A76FABA" w14:textId="4F3F9501" w:rsidR="00682427" w:rsidRPr="005E6687" w:rsidRDefault="00682427" w:rsidP="00EA0A63">
      <w:pPr>
        <w:widowControl/>
        <w:suppressAutoHyphens/>
        <w:rPr>
          <w:sz w:val="18"/>
        </w:rPr>
      </w:pPr>
    </w:p>
    <w:sectPr w:rsidR="00682427" w:rsidRPr="005E6687" w:rsidSect="005E6687">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CB48D" w14:textId="77777777" w:rsidR="00B67DD0" w:rsidRDefault="00B67DD0" w:rsidP="00C17968">
      <w:r>
        <w:separator/>
      </w:r>
    </w:p>
  </w:endnote>
  <w:endnote w:type="continuationSeparator" w:id="0">
    <w:p w14:paraId="25A49D76" w14:textId="77777777" w:rsidR="00B67DD0" w:rsidRDefault="00B67DD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76487" w14:textId="77777777" w:rsidR="00B67DD0" w:rsidRDefault="00B67DD0" w:rsidP="00C17968">
      <w:r>
        <w:separator/>
      </w:r>
    </w:p>
  </w:footnote>
  <w:footnote w:type="continuationSeparator" w:id="0">
    <w:p w14:paraId="7B3B3CCC" w14:textId="77777777" w:rsidR="00B67DD0" w:rsidRDefault="00B67DD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14707"/>
    <w:rsid w:val="00023BD5"/>
    <w:rsid w:val="00027A64"/>
    <w:rsid w:val="0003198B"/>
    <w:rsid w:val="0003665D"/>
    <w:rsid w:val="00050AB6"/>
    <w:rsid w:val="00051473"/>
    <w:rsid w:val="00053FCF"/>
    <w:rsid w:val="0005628D"/>
    <w:rsid w:val="00060995"/>
    <w:rsid w:val="00083289"/>
    <w:rsid w:val="00083BAD"/>
    <w:rsid w:val="00086A4C"/>
    <w:rsid w:val="00092D64"/>
    <w:rsid w:val="00094789"/>
    <w:rsid w:val="000A0317"/>
    <w:rsid w:val="000A4007"/>
    <w:rsid w:val="000A4085"/>
    <w:rsid w:val="000A5EAE"/>
    <w:rsid w:val="000A63C1"/>
    <w:rsid w:val="000B0C8F"/>
    <w:rsid w:val="000B5EF8"/>
    <w:rsid w:val="000C3C78"/>
    <w:rsid w:val="000C6D04"/>
    <w:rsid w:val="000C753C"/>
    <w:rsid w:val="000D42C5"/>
    <w:rsid w:val="000D47B6"/>
    <w:rsid w:val="000D6E9E"/>
    <w:rsid w:val="000E0262"/>
    <w:rsid w:val="000E074A"/>
    <w:rsid w:val="000E0BAC"/>
    <w:rsid w:val="000E6751"/>
    <w:rsid w:val="000E7CDD"/>
    <w:rsid w:val="000F2028"/>
    <w:rsid w:val="000F5D9F"/>
    <w:rsid w:val="00101FCF"/>
    <w:rsid w:val="0010261E"/>
    <w:rsid w:val="00102786"/>
    <w:rsid w:val="00102BB0"/>
    <w:rsid w:val="001138B7"/>
    <w:rsid w:val="00113BB3"/>
    <w:rsid w:val="00123517"/>
    <w:rsid w:val="00123B89"/>
    <w:rsid w:val="001304E9"/>
    <w:rsid w:val="00133F0A"/>
    <w:rsid w:val="00135EC6"/>
    <w:rsid w:val="00136C69"/>
    <w:rsid w:val="00136E6B"/>
    <w:rsid w:val="00140B4F"/>
    <w:rsid w:val="00140F86"/>
    <w:rsid w:val="001447C5"/>
    <w:rsid w:val="00151B36"/>
    <w:rsid w:val="001659D6"/>
    <w:rsid w:val="00165AD3"/>
    <w:rsid w:val="001769DF"/>
    <w:rsid w:val="0018100B"/>
    <w:rsid w:val="00197144"/>
    <w:rsid w:val="00197329"/>
    <w:rsid w:val="001B1B40"/>
    <w:rsid w:val="001C3DAB"/>
    <w:rsid w:val="001C4CEB"/>
    <w:rsid w:val="001D1A8C"/>
    <w:rsid w:val="001D45E8"/>
    <w:rsid w:val="001E1777"/>
    <w:rsid w:val="001F335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279AD"/>
    <w:rsid w:val="00335956"/>
    <w:rsid w:val="0033622C"/>
    <w:rsid w:val="00337711"/>
    <w:rsid w:val="00342459"/>
    <w:rsid w:val="00351E76"/>
    <w:rsid w:val="0036737F"/>
    <w:rsid w:val="00373FE5"/>
    <w:rsid w:val="00380D52"/>
    <w:rsid w:val="003811E6"/>
    <w:rsid w:val="00394B4B"/>
    <w:rsid w:val="003B540F"/>
    <w:rsid w:val="003B6116"/>
    <w:rsid w:val="003C2220"/>
    <w:rsid w:val="003D11EF"/>
    <w:rsid w:val="003D3B77"/>
    <w:rsid w:val="003D601B"/>
    <w:rsid w:val="003D7B4B"/>
    <w:rsid w:val="003E13A0"/>
    <w:rsid w:val="003E6785"/>
    <w:rsid w:val="003E7204"/>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94886"/>
    <w:rsid w:val="004A031A"/>
    <w:rsid w:val="004B71B8"/>
    <w:rsid w:val="004B7F3B"/>
    <w:rsid w:val="004C20EA"/>
    <w:rsid w:val="004C4015"/>
    <w:rsid w:val="004C74B6"/>
    <w:rsid w:val="004D328F"/>
    <w:rsid w:val="004D6568"/>
    <w:rsid w:val="00503322"/>
    <w:rsid w:val="00516E14"/>
    <w:rsid w:val="00523940"/>
    <w:rsid w:val="005429B8"/>
    <w:rsid w:val="00550F3B"/>
    <w:rsid w:val="00551480"/>
    <w:rsid w:val="005525E2"/>
    <w:rsid w:val="005547E4"/>
    <w:rsid w:val="005556D4"/>
    <w:rsid w:val="00562B4A"/>
    <w:rsid w:val="00563DBC"/>
    <w:rsid w:val="005704DC"/>
    <w:rsid w:val="0057263E"/>
    <w:rsid w:val="005732E8"/>
    <w:rsid w:val="00574132"/>
    <w:rsid w:val="00577CF3"/>
    <w:rsid w:val="00580659"/>
    <w:rsid w:val="00583378"/>
    <w:rsid w:val="0058412B"/>
    <w:rsid w:val="005879FB"/>
    <w:rsid w:val="00590D6C"/>
    <w:rsid w:val="00594E8B"/>
    <w:rsid w:val="005960C4"/>
    <w:rsid w:val="005A2463"/>
    <w:rsid w:val="005A463F"/>
    <w:rsid w:val="005A6E0E"/>
    <w:rsid w:val="005A7398"/>
    <w:rsid w:val="005B4EE0"/>
    <w:rsid w:val="005C024A"/>
    <w:rsid w:val="005C1324"/>
    <w:rsid w:val="005C6450"/>
    <w:rsid w:val="005C7FAB"/>
    <w:rsid w:val="005D674B"/>
    <w:rsid w:val="005D6A7E"/>
    <w:rsid w:val="005E5C85"/>
    <w:rsid w:val="005E6687"/>
    <w:rsid w:val="005F32CD"/>
    <w:rsid w:val="005F6B28"/>
    <w:rsid w:val="005F7305"/>
    <w:rsid w:val="00617D1E"/>
    <w:rsid w:val="00621432"/>
    <w:rsid w:val="00626C9D"/>
    <w:rsid w:val="00631C68"/>
    <w:rsid w:val="0063666C"/>
    <w:rsid w:val="00640E6A"/>
    <w:rsid w:val="006431BE"/>
    <w:rsid w:val="00644E0C"/>
    <w:rsid w:val="00646433"/>
    <w:rsid w:val="00646E1C"/>
    <w:rsid w:val="00660031"/>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7EE"/>
    <w:rsid w:val="00807BB1"/>
    <w:rsid w:val="008315F8"/>
    <w:rsid w:val="00835660"/>
    <w:rsid w:val="0084069F"/>
    <w:rsid w:val="00840B24"/>
    <w:rsid w:val="00844B36"/>
    <w:rsid w:val="0085485F"/>
    <w:rsid w:val="008637F2"/>
    <w:rsid w:val="008705CB"/>
    <w:rsid w:val="00872C04"/>
    <w:rsid w:val="008829AB"/>
    <w:rsid w:val="008874D2"/>
    <w:rsid w:val="00890276"/>
    <w:rsid w:val="00890308"/>
    <w:rsid w:val="00890A1F"/>
    <w:rsid w:val="00895860"/>
    <w:rsid w:val="008A405B"/>
    <w:rsid w:val="008B0B8A"/>
    <w:rsid w:val="008B2F56"/>
    <w:rsid w:val="008C56D7"/>
    <w:rsid w:val="008D6C4B"/>
    <w:rsid w:val="008E20C6"/>
    <w:rsid w:val="008E7D98"/>
    <w:rsid w:val="008E7D9B"/>
    <w:rsid w:val="008F5560"/>
    <w:rsid w:val="00913616"/>
    <w:rsid w:val="009174AF"/>
    <w:rsid w:val="00921C0C"/>
    <w:rsid w:val="00921FDE"/>
    <w:rsid w:val="009226D8"/>
    <w:rsid w:val="00922D61"/>
    <w:rsid w:val="009279FD"/>
    <w:rsid w:val="009420BF"/>
    <w:rsid w:val="009510CD"/>
    <w:rsid w:val="00964E49"/>
    <w:rsid w:val="00964F8C"/>
    <w:rsid w:val="00986B62"/>
    <w:rsid w:val="00995EE9"/>
    <w:rsid w:val="0099724C"/>
    <w:rsid w:val="009A2A78"/>
    <w:rsid w:val="009A4D73"/>
    <w:rsid w:val="009B5790"/>
    <w:rsid w:val="009C0017"/>
    <w:rsid w:val="009C2A6A"/>
    <w:rsid w:val="009D1244"/>
    <w:rsid w:val="009D34B6"/>
    <w:rsid w:val="009E5ABD"/>
    <w:rsid w:val="009E75B1"/>
    <w:rsid w:val="009F0DEE"/>
    <w:rsid w:val="009F4F22"/>
    <w:rsid w:val="00A0145C"/>
    <w:rsid w:val="00A14655"/>
    <w:rsid w:val="00A2194C"/>
    <w:rsid w:val="00A2684B"/>
    <w:rsid w:val="00A26B48"/>
    <w:rsid w:val="00A41D37"/>
    <w:rsid w:val="00A44F17"/>
    <w:rsid w:val="00A52209"/>
    <w:rsid w:val="00A6312E"/>
    <w:rsid w:val="00A771CE"/>
    <w:rsid w:val="00A93EFE"/>
    <w:rsid w:val="00AA0919"/>
    <w:rsid w:val="00AA649A"/>
    <w:rsid w:val="00AA7E32"/>
    <w:rsid w:val="00AB0BE0"/>
    <w:rsid w:val="00AB3518"/>
    <w:rsid w:val="00AB5714"/>
    <w:rsid w:val="00AB5DBF"/>
    <w:rsid w:val="00AC082C"/>
    <w:rsid w:val="00AC2734"/>
    <w:rsid w:val="00AC60A3"/>
    <w:rsid w:val="00AD5BF8"/>
    <w:rsid w:val="00AF1519"/>
    <w:rsid w:val="00B0160D"/>
    <w:rsid w:val="00B02C04"/>
    <w:rsid w:val="00B05550"/>
    <w:rsid w:val="00B05936"/>
    <w:rsid w:val="00B132A1"/>
    <w:rsid w:val="00B1423E"/>
    <w:rsid w:val="00B33858"/>
    <w:rsid w:val="00B41350"/>
    <w:rsid w:val="00B41A6C"/>
    <w:rsid w:val="00B535B4"/>
    <w:rsid w:val="00B606F6"/>
    <w:rsid w:val="00B61024"/>
    <w:rsid w:val="00B62A8D"/>
    <w:rsid w:val="00B67C05"/>
    <w:rsid w:val="00B67DD0"/>
    <w:rsid w:val="00B90B4E"/>
    <w:rsid w:val="00B974B0"/>
    <w:rsid w:val="00BA3EF9"/>
    <w:rsid w:val="00BC5E52"/>
    <w:rsid w:val="00BD38D5"/>
    <w:rsid w:val="00BE6E0F"/>
    <w:rsid w:val="00BF1E48"/>
    <w:rsid w:val="00BF365E"/>
    <w:rsid w:val="00C0140F"/>
    <w:rsid w:val="00C05DB9"/>
    <w:rsid w:val="00C07C48"/>
    <w:rsid w:val="00C13CD1"/>
    <w:rsid w:val="00C17425"/>
    <w:rsid w:val="00C17968"/>
    <w:rsid w:val="00C17B64"/>
    <w:rsid w:val="00C2383B"/>
    <w:rsid w:val="00C23C18"/>
    <w:rsid w:val="00C23C46"/>
    <w:rsid w:val="00C26E48"/>
    <w:rsid w:val="00C339A4"/>
    <w:rsid w:val="00C41EBB"/>
    <w:rsid w:val="00C4256B"/>
    <w:rsid w:val="00C42A03"/>
    <w:rsid w:val="00C475B6"/>
    <w:rsid w:val="00C7075A"/>
    <w:rsid w:val="00C71AAC"/>
    <w:rsid w:val="00C864C3"/>
    <w:rsid w:val="00CA2A17"/>
    <w:rsid w:val="00CA4226"/>
    <w:rsid w:val="00CA4306"/>
    <w:rsid w:val="00CA642C"/>
    <w:rsid w:val="00CB214B"/>
    <w:rsid w:val="00CB370E"/>
    <w:rsid w:val="00CC0414"/>
    <w:rsid w:val="00CC1DE2"/>
    <w:rsid w:val="00CC2F8D"/>
    <w:rsid w:val="00CD0F22"/>
    <w:rsid w:val="00CD7FD5"/>
    <w:rsid w:val="00CE4429"/>
    <w:rsid w:val="00CE4EB2"/>
    <w:rsid w:val="00CF0B98"/>
    <w:rsid w:val="00CF36B3"/>
    <w:rsid w:val="00D01884"/>
    <w:rsid w:val="00D04355"/>
    <w:rsid w:val="00D06A99"/>
    <w:rsid w:val="00D127A3"/>
    <w:rsid w:val="00D13EC4"/>
    <w:rsid w:val="00D17C88"/>
    <w:rsid w:val="00D20D73"/>
    <w:rsid w:val="00D222F2"/>
    <w:rsid w:val="00D22416"/>
    <w:rsid w:val="00D2400F"/>
    <w:rsid w:val="00D26D4A"/>
    <w:rsid w:val="00D2763B"/>
    <w:rsid w:val="00D31690"/>
    <w:rsid w:val="00D330D2"/>
    <w:rsid w:val="00D41554"/>
    <w:rsid w:val="00D41ABA"/>
    <w:rsid w:val="00D637C2"/>
    <w:rsid w:val="00D66564"/>
    <w:rsid w:val="00D6785E"/>
    <w:rsid w:val="00D67F25"/>
    <w:rsid w:val="00D71636"/>
    <w:rsid w:val="00D74061"/>
    <w:rsid w:val="00D76607"/>
    <w:rsid w:val="00D76A80"/>
    <w:rsid w:val="00D7747A"/>
    <w:rsid w:val="00D96075"/>
    <w:rsid w:val="00D97919"/>
    <w:rsid w:val="00DA6D1D"/>
    <w:rsid w:val="00DA783E"/>
    <w:rsid w:val="00DB3AE0"/>
    <w:rsid w:val="00DC0B97"/>
    <w:rsid w:val="00DC1529"/>
    <w:rsid w:val="00DC51B5"/>
    <w:rsid w:val="00DD6ECD"/>
    <w:rsid w:val="00DE4AAB"/>
    <w:rsid w:val="00DE6EA4"/>
    <w:rsid w:val="00E06657"/>
    <w:rsid w:val="00E12901"/>
    <w:rsid w:val="00E2296E"/>
    <w:rsid w:val="00E23A0A"/>
    <w:rsid w:val="00E33057"/>
    <w:rsid w:val="00E33275"/>
    <w:rsid w:val="00E373E2"/>
    <w:rsid w:val="00E52C8D"/>
    <w:rsid w:val="00E536BE"/>
    <w:rsid w:val="00E557EC"/>
    <w:rsid w:val="00E62DBC"/>
    <w:rsid w:val="00E71631"/>
    <w:rsid w:val="00E71E51"/>
    <w:rsid w:val="00E83AE6"/>
    <w:rsid w:val="00E91C27"/>
    <w:rsid w:val="00E945AC"/>
    <w:rsid w:val="00E9561D"/>
    <w:rsid w:val="00E964F3"/>
    <w:rsid w:val="00E96867"/>
    <w:rsid w:val="00EA0A63"/>
    <w:rsid w:val="00EB0212"/>
    <w:rsid w:val="00EB2AD5"/>
    <w:rsid w:val="00EB3D35"/>
    <w:rsid w:val="00EC01D2"/>
    <w:rsid w:val="00EC028B"/>
    <w:rsid w:val="00EC6C8D"/>
    <w:rsid w:val="00EC7C9D"/>
    <w:rsid w:val="00ED6764"/>
    <w:rsid w:val="00EE2657"/>
    <w:rsid w:val="00EE5001"/>
    <w:rsid w:val="00EE6D3C"/>
    <w:rsid w:val="00EF40BC"/>
    <w:rsid w:val="00F04D62"/>
    <w:rsid w:val="00F05966"/>
    <w:rsid w:val="00F0658D"/>
    <w:rsid w:val="00F1268F"/>
    <w:rsid w:val="00F136AB"/>
    <w:rsid w:val="00F278A7"/>
    <w:rsid w:val="00F31687"/>
    <w:rsid w:val="00F35997"/>
    <w:rsid w:val="00F40EA6"/>
    <w:rsid w:val="00F41794"/>
    <w:rsid w:val="00F42C14"/>
    <w:rsid w:val="00F55F9A"/>
    <w:rsid w:val="00F700BD"/>
    <w:rsid w:val="00F704EE"/>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paragraph" w:styleId="NoSpacing">
    <w:name w:val="No Spacing"/>
    <w:uiPriority w:val="1"/>
    <w:qFormat/>
    <w:rsid w:val="00337711"/>
    <w:pPr>
      <w:widowControl w:val="0"/>
      <w:autoSpaceDE w:val="0"/>
      <w:autoSpaceDN w:val="0"/>
      <w:adjustRightInd w:val="0"/>
      <w:spacing w:after="0" w:line="240" w:lineRule="auto"/>
    </w:pPr>
    <w:rPr>
      <w:rFonts w:ascii="Times New Roman" w:eastAsiaTheme="minorEastAsia"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1023</Words>
  <Characters>5833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2025-09-24T19:26:00Z</dcterms:created>
  <dcterms:modified xsi:type="dcterms:W3CDTF">2025-09-24T19:26:00Z</dcterms:modified>
</cp:coreProperties>
</file>