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930A6" w14:textId="4E97F69F" w:rsidR="00164357" w:rsidRPr="00F20B31" w:rsidRDefault="00164357" w:rsidP="00164357">
      <w:pPr>
        <w:widowControl/>
        <w:suppressAutoHyphens/>
        <w:rPr>
          <w:bCs/>
          <w:sz w:val="18"/>
          <w:szCs w:val="18"/>
        </w:rPr>
      </w:pPr>
      <w:r w:rsidRPr="00F20B31">
        <w:rPr>
          <w:b/>
          <w:bCs/>
          <w:sz w:val="18"/>
          <w:szCs w:val="18"/>
        </w:rPr>
        <w:t>R523.  Health and Human Services, Substance Use and Mental Health.</w:t>
      </w:r>
    </w:p>
    <w:p w14:paraId="5DFC1709" w14:textId="77777777" w:rsidR="00164357" w:rsidRPr="00F20B31" w:rsidRDefault="00164357" w:rsidP="00164357">
      <w:pPr>
        <w:widowControl/>
        <w:suppressAutoHyphens/>
        <w:rPr>
          <w:bCs/>
          <w:sz w:val="18"/>
          <w:szCs w:val="18"/>
        </w:rPr>
      </w:pPr>
      <w:r w:rsidRPr="00F20B31">
        <w:rPr>
          <w:b/>
          <w:bCs/>
          <w:sz w:val="18"/>
          <w:szCs w:val="18"/>
        </w:rPr>
        <w:t>R523-21.  Behavioral Health Receiving Centers Standards.</w:t>
      </w:r>
    </w:p>
    <w:p w14:paraId="051112D1" w14:textId="36DD1844" w:rsidR="00164357" w:rsidRPr="00F20B31" w:rsidRDefault="00164357" w:rsidP="00164357">
      <w:pPr>
        <w:widowControl/>
        <w:suppressAutoHyphens/>
        <w:rPr>
          <w:bCs/>
          <w:sz w:val="18"/>
          <w:szCs w:val="18"/>
        </w:rPr>
      </w:pPr>
      <w:r w:rsidRPr="00F20B31">
        <w:rPr>
          <w:b/>
          <w:bCs/>
          <w:sz w:val="18"/>
          <w:szCs w:val="18"/>
        </w:rPr>
        <w:t>R523-21-1.  Authority and Purpose.</w:t>
      </w:r>
    </w:p>
    <w:p w14:paraId="033ECE7A" w14:textId="6D85D5B2" w:rsidR="00164357" w:rsidRPr="00F20B31" w:rsidRDefault="00164357" w:rsidP="00164357">
      <w:pPr>
        <w:widowControl/>
        <w:suppressAutoHyphens/>
        <w:rPr>
          <w:bCs/>
          <w:sz w:val="18"/>
          <w:szCs w:val="18"/>
        </w:rPr>
      </w:pPr>
      <w:r w:rsidRPr="00F20B31">
        <w:rPr>
          <w:bCs/>
          <w:sz w:val="18"/>
          <w:szCs w:val="18"/>
        </w:rPr>
        <w:tab/>
        <w:t>(1)  Subsection 26B-5-114(8) authorizes this rule.</w:t>
      </w:r>
    </w:p>
    <w:p w14:paraId="1B83CE34" w14:textId="77777777" w:rsidR="00164357" w:rsidRPr="00F20B31" w:rsidRDefault="00164357" w:rsidP="00164357">
      <w:pPr>
        <w:widowControl/>
        <w:suppressAutoHyphens/>
        <w:rPr>
          <w:bCs/>
          <w:sz w:val="18"/>
          <w:szCs w:val="18"/>
        </w:rPr>
      </w:pPr>
      <w:r w:rsidRPr="00F20B31">
        <w:rPr>
          <w:bCs/>
          <w:sz w:val="18"/>
          <w:szCs w:val="18"/>
        </w:rPr>
        <w:tab/>
        <w:t>(2)  This rule:</w:t>
      </w:r>
    </w:p>
    <w:p w14:paraId="2A8A56FE" w14:textId="11554250" w:rsidR="00164357" w:rsidRPr="00F20B31" w:rsidRDefault="00164357" w:rsidP="00164357">
      <w:pPr>
        <w:widowControl/>
        <w:suppressAutoHyphens/>
        <w:rPr>
          <w:bCs/>
          <w:sz w:val="18"/>
          <w:szCs w:val="18"/>
        </w:rPr>
      </w:pPr>
      <w:r w:rsidRPr="00F20B31">
        <w:rPr>
          <w:bCs/>
          <w:sz w:val="18"/>
          <w:szCs w:val="18"/>
        </w:rPr>
        <w:tab/>
        <w:t>(a)  creates standards of care and practice for behavioral health receiving centers;</w:t>
      </w:r>
    </w:p>
    <w:p w14:paraId="18381E4D" w14:textId="44B2F5C3" w:rsidR="00164357" w:rsidRPr="00F20B31" w:rsidRDefault="00164357" w:rsidP="00164357">
      <w:pPr>
        <w:widowControl/>
        <w:suppressAutoHyphens/>
        <w:rPr>
          <w:bCs/>
          <w:sz w:val="18"/>
          <w:szCs w:val="18"/>
        </w:rPr>
      </w:pPr>
      <w:r w:rsidRPr="00F20B31">
        <w:rPr>
          <w:bCs/>
          <w:sz w:val="18"/>
          <w:szCs w:val="18"/>
        </w:rPr>
        <w:tab/>
        <w:t>(b)  outlines the responsibilities of behavioral health receiving centers, including interactions with individuals in community mental health centers that have been civilly committed or court ordered to receive assisted outpatient treatment; and</w:t>
      </w:r>
    </w:p>
    <w:p w14:paraId="3BEF2326" w14:textId="1502AEEB" w:rsidR="00164357" w:rsidRPr="00F20B31" w:rsidRDefault="00164357" w:rsidP="00164357">
      <w:pPr>
        <w:widowControl/>
        <w:suppressAutoHyphens/>
        <w:rPr>
          <w:bCs/>
          <w:sz w:val="18"/>
          <w:szCs w:val="18"/>
        </w:rPr>
      </w:pPr>
      <w:r w:rsidRPr="00F20B31">
        <w:rPr>
          <w:bCs/>
          <w:sz w:val="18"/>
          <w:szCs w:val="18"/>
        </w:rPr>
        <w:tab/>
        <w:t>(c)  creates standards that local mental health authorities must implement to receive grants as directed by Section 26B-5-114.</w:t>
      </w:r>
    </w:p>
    <w:p w14:paraId="602444F7" w14:textId="77777777" w:rsidR="00164357" w:rsidRPr="00F20B31" w:rsidRDefault="00164357" w:rsidP="00164357">
      <w:pPr>
        <w:widowControl/>
        <w:suppressAutoHyphens/>
        <w:rPr>
          <w:bCs/>
          <w:sz w:val="18"/>
          <w:szCs w:val="18"/>
        </w:rPr>
      </w:pPr>
    </w:p>
    <w:p w14:paraId="6A76A19A" w14:textId="22FD1E00" w:rsidR="00164357" w:rsidRPr="00F20B31" w:rsidRDefault="00164357" w:rsidP="00164357">
      <w:pPr>
        <w:widowControl/>
        <w:suppressAutoHyphens/>
        <w:rPr>
          <w:bCs/>
          <w:sz w:val="18"/>
          <w:szCs w:val="18"/>
        </w:rPr>
      </w:pPr>
      <w:r w:rsidRPr="00F20B31">
        <w:rPr>
          <w:b/>
          <w:bCs/>
          <w:sz w:val="18"/>
          <w:szCs w:val="18"/>
        </w:rPr>
        <w:t>R523-21-2.  Definitions.</w:t>
      </w:r>
    </w:p>
    <w:p w14:paraId="64228409" w14:textId="77777777" w:rsidR="00164357" w:rsidRPr="00F20B31" w:rsidRDefault="00164357" w:rsidP="00164357">
      <w:pPr>
        <w:widowControl/>
        <w:suppressAutoHyphens/>
        <w:rPr>
          <w:bCs/>
          <w:sz w:val="18"/>
          <w:szCs w:val="18"/>
        </w:rPr>
      </w:pPr>
      <w:r w:rsidRPr="00F20B31">
        <w:rPr>
          <w:bCs/>
          <w:sz w:val="18"/>
          <w:szCs w:val="18"/>
        </w:rPr>
        <w:tab/>
        <w:t>(1)  "Behavioral health receiving center" means a behavior health receiving center as defined in Section 26B-5-114 that was developed using a grant awarded under Section 26B-5-114.</w:t>
      </w:r>
    </w:p>
    <w:p w14:paraId="1B30271C" w14:textId="77777777" w:rsidR="00164357" w:rsidRPr="00F20B31" w:rsidRDefault="00164357" w:rsidP="00164357">
      <w:pPr>
        <w:widowControl/>
        <w:suppressAutoHyphens/>
        <w:rPr>
          <w:bCs/>
          <w:sz w:val="18"/>
          <w:szCs w:val="18"/>
        </w:rPr>
      </w:pPr>
      <w:r w:rsidRPr="00F20B31">
        <w:rPr>
          <w:bCs/>
          <w:sz w:val="18"/>
          <w:szCs w:val="18"/>
        </w:rPr>
        <w:tab/>
        <w:t>(2)  "Crisis assessment" means a discreet assessment provided during triage that focuses on risk formulation and immediate crisis need.</w:t>
      </w:r>
    </w:p>
    <w:p w14:paraId="21592ED9" w14:textId="6374BB6B" w:rsidR="00164357" w:rsidRPr="00F20B31" w:rsidRDefault="00164357" w:rsidP="00164357">
      <w:pPr>
        <w:widowControl/>
        <w:suppressAutoHyphens/>
        <w:rPr>
          <w:bCs/>
          <w:sz w:val="18"/>
          <w:szCs w:val="18"/>
        </w:rPr>
      </w:pPr>
      <w:r w:rsidRPr="00F20B31">
        <w:rPr>
          <w:bCs/>
          <w:sz w:val="18"/>
          <w:szCs w:val="18"/>
        </w:rPr>
        <w:tab/>
        <w:t>(3)  "General Provision" means the general provisions described in Section R523-18-4.</w:t>
      </w:r>
    </w:p>
    <w:p w14:paraId="7566EDDB" w14:textId="1046D469" w:rsidR="00164357" w:rsidRPr="00F20B31" w:rsidRDefault="00164357" w:rsidP="00164357">
      <w:pPr>
        <w:widowControl/>
        <w:suppressAutoHyphens/>
        <w:rPr>
          <w:bCs/>
          <w:sz w:val="18"/>
          <w:szCs w:val="18"/>
        </w:rPr>
      </w:pPr>
      <w:r w:rsidRPr="00F20B31">
        <w:rPr>
          <w:bCs/>
          <w:sz w:val="18"/>
          <w:szCs w:val="18"/>
        </w:rPr>
        <w:tab/>
        <w:t>(4)  "Risk corridor funding structure" means the same as in Rule R523-18.</w:t>
      </w:r>
    </w:p>
    <w:p w14:paraId="08BFDF27" w14:textId="77777777" w:rsidR="00164357" w:rsidRPr="00F20B31" w:rsidRDefault="00164357" w:rsidP="00164357">
      <w:pPr>
        <w:widowControl/>
        <w:suppressAutoHyphens/>
        <w:rPr>
          <w:bCs/>
          <w:sz w:val="18"/>
          <w:szCs w:val="18"/>
        </w:rPr>
      </w:pPr>
    </w:p>
    <w:p w14:paraId="43E0808F" w14:textId="084F8023" w:rsidR="00164357" w:rsidRPr="00F20B31" w:rsidRDefault="00164357" w:rsidP="00164357">
      <w:pPr>
        <w:widowControl/>
        <w:suppressAutoHyphens/>
        <w:rPr>
          <w:bCs/>
          <w:sz w:val="18"/>
          <w:szCs w:val="18"/>
        </w:rPr>
      </w:pPr>
      <w:r w:rsidRPr="00F20B31">
        <w:rPr>
          <w:b/>
          <w:bCs/>
          <w:sz w:val="18"/>
          <w:szCs w:val="18"/>
        </w:rPr>
        <w:t>R523-21-3.  Minimum Guidelines and Standards of Care.</w:t>
      </w:r>
    </w:p>
    <w:p w14:paraId="16B0B9EE" w14:textId="6CF376D5" w:rsidR="00164357" w:rsidRPr="00F20B31" w:rsidRDefault="00164357" w:rsidP="00164357">
      <w:pPr>
        <w:widowControl/>
        <w:suppressAutoHyphens/>
        <w:rPr>
          <w:bCs/>
          <w:sz w:val="18"/>
          <w:szCs w:val="18"/>
        </w:rPr>
      </w:pPr>
      <w:r w:rsidRPr="00F20B31">
        <w:rPr>
          <w:bCs/>
          <w:sz w:val="18"/>
          <w:szCs w:val="18"/>
        </w:rPr>
        <w:tab/>
        <w:t>(1)  A behavioral health receiving center shall:</w:t>
      </w:r>
    </w:p>
    <w:p w14:paraId="14D999FC" w14:textId="77777777" w:rsidR="00164357" w:rsidRPr="00F20B31" w:rsidRDefault="00164357" w:rsidP="00164357">
      <w:pPr>
        <w:widowControl/>
        <w:suppressAutoHyphens/>
        <w:rPr>
          <w:bCs/>
          <w:sz w:val="18"/>
          <w:szCs w:val="18"/>
        </w:rPr>
      </w:pPr>
      <w:r w:rsidRPr="00F20B31">
        <w:rPr>
          <w:bCs/>
          <w:sz w:val="18"/>
          <w:szCs w:val="18"/>
        </w:rPr>
        <w:tab/>
        <w:t>(a)  abide by the requirements found in the general provisions as described in Section R523-18-4;</w:t>
      </w:r>
    </w:p>
    <w:p w14:paraId="7AF506B3" w14:textId="77777777" w:rsidR="00164357" w:rsidRPr="00F20B31" w:rsidRDefault="00164357" w:rsidP="00164357">
      <w:pPr>
        <w:widowControl/>
        <w:suppressAutoHyphens/>
        <w:rPr>
          <w:bCs/>
          <w:sz w:val="18"/>
          <w:szCs w:val="18"/>
        </w:rPr>
      </w:pPr>
      <w:r w:rsidRPr="00F20B31">
        <w:rPr>
          <w:bCs/>
          <w:sz w:val="18"/>
          <w:szCs w:val="18"/>
        </w:rPr>
        <w:tab/>
        <w:t>(b)  have a community referral diversion plan that ensures law enforcement referrals are accepted any time, even when full capacity has been reached;</w:t>
      </w:r>
    </w:p>
    <w:p w14:paraId="250EFD09" w14:textId="5322CB74" w:rsidR="00164357" w:rsidRPr="00F20B31" w:rsidRDefault="00164357" w:rsidP="00164357">
      <w:pPr>
        <w:widowControl/>
        <w:suppressAutoHyphens/>
        <w:rPr>
          <w:bCs/>
          <w:sz w:val="18"/>
          <w:szCs w:val="18"/>
        </w:rPr>
      </w:pPr>
      <w:r w:rsidRPr="00F20B31">
        <w:rPr>
          <w:bCs/>
          <w:sz w:val="18"/>
          <w:szCs w:val="18"/>
        </w:rPr>
        <w:tab/>
        <w:t>(c)  submit the community referral diversion plan to the Office of Substance Use and Mental Health for approval;</w:t>
      </w:r>
    </w:p>
    <w:p w14:paraId="4B0E0D6C" w14:textId="71494371" w:rsidR="00164357" w:rsidRPr="00F20B31" w:rsidRDefault="00164357" w:rsidP="00164357">
      <w:pPr>
        <w:widowControl/>
        <w:suppressAutoHyphens/>
        <w:rPr>
          <w:bCs/>
          <w:sz w:val="18"/>
          <w:szCs w:val="18"/>
        </w:rPr>
      </w:pPr>
      <w:r w:rsidRPr="00F20B31">
        <w:rPr>
          <w:bCs/>
          <w:sz w:val="18"/>
          <w:szCs w:val="18"/>
        </w:rPr>
        <w:tab/>
        <w:t>(d)  accept each referral, offer walk-in and first responder drop-off options, and provide both a medical and targeted crisis assessment and a biopsychosocial assessment for each individual who walks in or is dropped off for services;</w:t>
      </w:r>
    </w:p>
    <w:p w14:paraId="7525C930" w14:textId="18E132B2" w:rsidR="00164357" w:rsidRPr="00F20B31" w:rsidRDefault="00164357" w:rsidP="00164357">
      <w:pPr>
        <w:widowControl/>
        <w:suppressAutoHyphens/>
        <w:rPr>
          <w:bCs/>
          <w:sz w:val="18"/>
          <w:szCs w:val="18"/>
        </w:rPr>
      </w:pPr>
      <w:r w:rsidRPr="00F20B31">
        <w:rPr>
          <w:bCs/>
          <w:sz w:val="18"/>
          <w:szCs w:val="18"/>
        </w:rPr>
        <w:tab/>
        <w:t>(e)  not require medical clearance requirements before admission;</w:t>
      </w:r>
    </w:p>
    <w:p w14:paraId="45A4384A" w14:textId="689CA149" w:rsidR="00164357" w:rsidRPr="00F20B31" w:rsidRDefault="00164357" w:rsidP="00164357">
      <w:pPr>
        <w:widowControl/>
        <w:suppressAutoHyphens/>
        <w:rPr>
          <w:bCs/>
          <w:sz w:val="18"/>
          <w:szCs w:val="18"/>
        </w:rPr>
      </w:pPr>
      <w:r w:rsidRPr="00F20B31">
        <w:rPr>
          <w:bCs/>
          <w:sz w:val="18"/>
          <w:szCs w:val="18"/>
        </w:rPr>
        <w:tab/>
        <w:t>(f)  assess and support individuals for medical stability while in the program;</w:t>
      </w:r>
    </w:p>
    <w:p w14:paraId="4810407B" w14:textId="600560EB" w:rsidR="00164357" w:rsidRPr="00F20B31" w:rsidRDefault="00164357" w:rsidP="00164357">
      <w:pPr>
        <w:widowControl/>
        <w:suppressAutoHyphens/>
        <w:rPr>
          <w:bCs/>
          <w:sz w:val="18"/>
          <w:szCs w:val="18"/>
        </w:rPr>
      </w:pPr>
      <w:r w:rsidRPr="00F20B31">
        <w:rPr>
          <w:bCs/>
          <w:sz w:val="18"/>
          <w:szCs w:val="18"/>
        </w:rPr>
        <w:tab/>
        <w:t>(g)  design services to address mental health and substance use crisis issues; and</w:t>
      </w:r>
    </w:p>
    <w:p w14:paraId="3286811B" w14:textId="410A3B91" w:rsidR="00164357" w:rsidRPr="00F20B31" w:rsidRDefault="00164357" w:rsidP="00164357">
      <w:pPr>
        <w:widowControl/>
        <w:suppressAutoHyphens/>
        <w:rPr>
          <w:bCs/>
          <w:sz w:val="18"/>
          <w:szCs w:val="18"/>
        </w:rPr>
      </w:pPr>
      <w:r w:rsidRPr="00F20B31">
        <w:rPr>
          <w:bCs/>
          <w:sz w:val="18"/>
          <w:szCs w:val="18"/>
        </w:rPr>
        <w:tab/>
        <w:t>(h)  employ enough staff to be able to assess an individual's physical health needs and deliver care for most minor physical health challenges with an identified path to transfer the individual to additional medically staffed services if needed.</w:t>
      </w:r>
    </w:p>
    <w:p w14:paraId="6D13BB27" w14:textId="3D22C669" w:rsidR="00164357" w:rsidRPr="00F20B31" w:rsidRDefault="00164357" w:rsidP="00164357">
      <w:pPr>
        <w:widowControl/>
        <w:suppressAutoHyphens/>
        <w:rPr>
          <w:bCs/>
          <w:sz w:val="18"/>
          <w:szCs w:val="18"/>
        </w:rPr>
      </w:pPr>
      <w:r w:rsidRPr="00F20B31">
        <w:rPr>
          <w:bCs/>
          <w:sz w:val="18"/>
          <w:szCs w:val="18"/>
        </w:rPr>
        <w:tab/>
        <w:t>(2)  A behavioral health receiving center shall:</w:t>
      </w:r>
    </w:p>
    <w:p w14:paraId="28FFB8E9" w14:textId="2B2C563B" w:rsidR="00164357" w:rsidRPr="00F20B31" w:rsidRDefault="00164357" w:rsidP="00164357">
      <w:pPr>
        <w:widowControl/>
        <w:suppressAutoHyphens/>
        <w:rPr>
          <w:bCs/>
          <w:sz w:val="18"/>
          <w:szCs w:val="18"/>
        </w:rPr>
      </w:pPr>
      <w:r w:rsidRPr="00F20B31">
        <w:rPr>
          <w:bCs/>
          <w:sz w:val="18"/>
          <w:szCs w:val="18"/>
        </w:rPr>
        <w:tab/>
        <w:t>(a)  be staffed 24 hours each day, seven days each week, with at least two staff members comprising a multidisciplinary team capable of meeting the needs of individuals experiencing any level of behavioral health crisis in the community; and</w:t>
      </w:r>
    </w:p>
    <w:p w14:paraId="7565924A" w14:textId="77777777" w:rsidR="00164357" w:rsidRPr="00F20B31" w:rsidRDefault="00164357" w:rsidP="00164357">
      <w:pPr>
        <w:widowControl/>
        <w:suppressAutoHyphens/>
        <w:rPr>
          <w:bCs/>
          <w:sz w:val="18"/>
          <w:szCs w:val="18"/>
        </w:rPr>
      </w:pPr>
      <w:r w:rsidRPr="00F20B31">
        <w:rPr>
          <w:bCs/>
          <w:sz w:val="18"/>
          <w:szCs w:val="18"/>
        </w:rPr>
        <w:tab/>
        <w:t>(b)  maintain staffing ratios as follows:</w:t>
      </w:r>
    </w:p>
    <w:p w14:paraId="54AA244E" w14:textId="5EF4E06F" w:rsidR="00164357" w:rsidRPr="00F20B31" w:rsidRDefault="00164357" w:rsidP="00164357">
      <w:pPr>
        <w:widowControl/>
        <w:suppressAutoHyphens/>
        <w:rPr>
          <w:bCs/>
          <w:sz w:val="18"/>
          <w:szCs w:val="18"/>
        </w:rPr>
      </w:pPr>
      <w:r w:rsidRPr="00F20B31">
        <w:rPr>
          <w:bCs/>
          <w:sz w:val="18"/>
          <w:szCs w:val="18"/>
        </w:rPr>
        <w:tab/>
        <w:t>(i)  between the hours of 7 a.m. and 10 p.m., six staff to 16 clients if there are more than eight clients, or four staff to eight clients; and</w:t>
      </w:r>
    </w:p>
    <w:p w14:paraId="1E3FB541" w14:textId="77777777" w:rsidR="00164357" w:rsidRPr="00F20B31" w:rsidRDefault="00164357" w:rsidP="00164357">
      <w:pPr>
        <w:widowControl/>
        <w:suppressAutoHyphens/>
        <w:rPr>
          <w:bCs/>
          <w:sz w:val="18"/>
          <w:szCs w:val="18"/>
        </w:rPr>
      </w:pPr>
      <w:r w:rsidRPr="00F20B31">
        <w:rPr>
          <w:bCs/>
          <w:sz w:val="18"/>
          <w:szCs w:val="18"/>
        </w:rPr>
        <w:tab/>
        <w:t>(ii)  between the hours of 10 p.m. to 7 a.m., five staff to 16 clients if there are more than eight clients, or four staff to eight clients.</w:t>
      </w:r>
    </w:p>
    <w:p w14:paraId="0D194E31" w14:textId="77777777" w:rsidR="00164357" w:rsidRPr="00F20B31" w:rsidRDefault="00164357" w:rsidP="00164357">
      <w:pPr>
        <w:widowControl/>
        <w:suppressAutoHyphens/>
        <w:rPr>
          <w:bCs/>
          <w:sz w:val="18"/>
          <w:szCs w:val="18"/>
        </w:rPr>
      </w:pPr>
      <w:r w:rsidRPr="00F20B31">
        <w:rPr>
          <w:bCs/>
          <w:sz w:val="18"/>
          <w:szCs w:val="18"/>
        </w:rPr>
        <w:tab/>
        <w:t>(3)  A behavioral health receiving center shall ensure that each multidisciplinary team includes:</w:t>
      </w:r>
    </w:p>
    <w:p w14:paraId="1ED95D88" w14:textId="7D908FE4" w:rsidR="00164357" w:rsidRPr="00F20B31" w:rsidRDefault="00164357" w:rsidP="00164357">
      <w:pPr>
        <w:widowControl/>
        <w:suppressAutoHyphens/>
        <w:rPr>
          <w:bCs/>
          <w:sz w:val="18"/>
          <w:szCs w:val="18"/>
        </w:rPr>
      </w:pPr>
      <w:r w:rsidRPr="00F20B31">
        <w:rPr>
          <w:bCs/>
          <w:sz w:val="18"/>
          <w:szCs w:val="18"/>
        </w:rPr>
        <w:tab/>
        <w:t>(a)  a psychiatrist or psychiatric mental health nurse practitioner as defined in Section 58-1-111, which may satisfy the center's staffing requirement through the use of telehealth;</w:t>
      </w:r>
    </w:p>
    <w:p w14:paraId="788BAA15" w14:textId="2DED1DA8" w:rsidR="00164357" w:rsidRPr="00F20B31" w:rsidRDefault="00164357" w:rsidP="00164357">
      <w:pPr>
        <w:widowControl/>
        <w:suppressAutoHyphens/>
        <w:rPr>
          <w:bCs/>
          <w:sz w:val="18"/>
          <w:szCs w:val="18"/>
        </w:rPr>
      </w:pPr>
      <w:r w:rsidRPr="00F20B31">
        <w:rPr>
          <w:bCs/>
          <w:sz w:val="18"/>
          <w:szCs w:val="18"/>
        </w:rPr>
        <w:tab/>
        <w:t>(b)  an individual engaged in the practice of registered nursing or the practice of practical nursing as defined in Section 58-31b-102;</w:t>
      </w:r>
    </w:p>
    <w:p w14:paraId="6EE63A5C" w14:textId="752DD665" w:rsidR="00164357" w:rsidRPr="00F20B31" w:rsidRDefault="00164357" w:rsidP="00164357">
      <w:pPr>
        <w:widowControl/>
        <w:suppressAutoHyphens/>
        <w:rPr>
          <w:bCs/>
          <w:sz w:val="18"/>
          <w:szCs w:val="18"/>
        </w:rPr>
      </w:pPr>
      <w:r w:rsidRPr="00F20B31">
        <w:rPr>
          <w:bCs/>
          <w:sz w:val="18"/>
          <w:szCs w:val="18"/>
        </w:rPr>
        <w:tab/>
        <w:t>(c)  a licensed clinical mental health counselor as described in Section 58-60-405, who may be off-site during non-business hours if the counselor can physically respond on-site within an average response time of 30 minutes; and</w:t>
      </w:r>
    </w:p>
    <w:p w14:paraId="1159D628" w14:textId="22C7CA71" w:rsidR="00164357" w:rsidRPr="00F20B31" w:rsidRDefault="00164357" w:rsidP="00164357">
      <w:pPr>
        <w:widowControl/>
        <w:suppressAutoHyphens/>
        <w:rPr>
          <w:bCs/>
          <w:sz w:val="18"/>
          <w:szCs w:val="18"/>
        </w:rPr>
      </w:pPr>
      <w:r w:rsidRPr="00F20B31">
        <w:rPr>
          <w:bCs/>
          <w:sz w:val="18"/>
          <w:szCs w:val="18"/>
        </w:rPr>
        <w:tab/>
        <w:t>(d)  a certified peer support specialist, as described in Rule R523-5, with lived behavioral health experience similar to the experience of the population served.</w:t>
      </w:r>
    </w:p>
    <w:p w14:paraId="56D8AB38" w14:textId="65AE13F6" w:rsidR="00164357" w:rsidRPr="00F20B31" w:rsidRDefault="00164357" w:rsidP="00164357">
      <w:pPr>
        <w:widowControl/>
        <w:suppressAutoHyphens/>
        <w:rPr>
          <w:bCs/>
          <w:sz w:val="18"/>
          <w:szCs w:val="18"/>
        </w:rPr>
      </w:pPr>
      <w:r w:rsidRPr="00F20B31">
        <w:rPr>
          <w:bCs/>
          <w:sz w:val="18"/>
          <w:szCs w:val="18"/>
        </w:rPr>
        <w:tab/>
        <w:t>(4)  Based on historical and observed need, a behavioral health receiving center shall ensure that enough recliners are available to serve each client for up to 23 hours for assessment, observation, stabilization, crisis management, and support.</w:t>
      </w:r>
    </w:p>
    <w:p w14:paraId="512D7AB4" w14:textId="6240A612" w:rsidR="00164357" w:rsidRPr="00F20B31" w:rsidRDefault="00164357" w:rsidP="00164357">
      <w:pPr>
        <w:widowControl/>
        <w:suppressAutoHyphens/>
        <w:rPr>
          <w:bCs/>
          <w:sz w:val="18"/>
          <w:szCs w:val="18"/>
        </w:rPr>
      </w:pPr>
      <w:r w:rsidRPr="00F20B31">
        <w:rPr>
          <w:bCs/>
          <w:sz w:val="18"/>
          <w:szCs w:val="18"/>
        </w:rPr>
        <w:tab/>
        <w:t>(5)  A behavioral health receiving center shall screen each client for:</w:t>
      </w:r>
    </w:p>
    <w:p w14:paraId="58C932CA" w14:textId="7CCA5401" w:rsidR="00164357" w:rsidRPr="00F20B31" w:rsidRDefault="00164357" w:rsidP="00164357">
      <w:pPr>
        <w:widowControl/>
        <w:suppressAutoHyphens/>
        <w:rPr>
          <w:bCs/>
          <w:sz w:val="18"/>
          <w:szCs w:val="18"/>
        </w:rPr>
      </w:pPr>
      <w:r w:rsidRPr="00F20B31">
        <w:rPr>
          <w:bCs/>
          <w:sz w:val="18"/>
          <w:szCs w:val="18"/>
        </w:rPr>
        <w:tab/>
        <w:t>(a)  suicide risk; and</w:t>
      </w:r>
    </w:p>
    <w:p w14:paraId="39AE62B3" w14:textId="77777777" w:rsidR="00164357" w:rsidRPr="00F20B31" w:rsidRDefault="00164357" w:rsidP="00164357">
      <w:pPr>
        <w:widowControl/>
        <w:suppressAutoHyphens/>
        <w:rPr>
          <w:bCs/>
          <w:sz w:val="18"/>
          <w:szCs w:val="18"/>
        </w:rPr>
      </w:pPr>
      <w:r w:rsidRPr="00F20B31">
        <w:rPr>
          <w:bCs/>
          <w:sz w:val="18"/>
          <w:szCs w:val="18"/>
        </w:rPr>
        <w:tab/>
        <w:t>(b)  violence risk.</w:t>
      </w:r>
    </w:p>
    <w:p w14:paraId="720D3568" w14:textId="77777777" w:rsidR="00164357" w:rsidRPr="00F20B31" w:rsidRDefault="00164357" w:rsidP="00164357">
      <w:pPr>
        <w:widowControl/>
        <w:suppressAutoHyphens/>
        <w:rPr>
          <w:bCs/>
          <w:sz w:val="18"/>
          <w:szCs w:val="18"/>
        </w:rPr>
      </w:pPr>
      <w:r w:rsidRPr="00F20B31">
        <w:rPr>
          <w:bCs/>
          <w:sz w:val="18"/>
          <w:szCs w:val="18"/>
        </w:rPr>
        <w:tab/>
        <w:t>(6)  When clinically indicated, each client shall receive a comprehensive crisis assessment for:</w:t>
      </w:r>
    </w:p>
    <w:p w14:paraId="7FC6C273" w14:textId="67D520C9" w:rsidR="00164357" w:rsidRPr="00F20B31" w:rsidRDefault="00164357" w:rsidP="00164357">
      <w:pPr>
        <w:widowControl/>
        <w:suppressAutoHyphens/>
        <w:rPr>
          <w:bCs/>
          <w:sz w:val="18"/>
          <w:szCs w:val="18"/>
        </w:rPr>
      </w:pPr>
      <w:r w:rsidRPr="00F20B31">
        <w:rPr>
          <w:bCs/>
          <w:sz w:val="18"/>
          <w:szCs w:val="18"/>
        </w:rPr>
        <w:tab/>
        <w:t>(a)  suicide risk and suicide prevention planning; and</w:t>
      </w:r>
    </w:p>
    <w:p w14:paraId="071EB6BC" w14:textId="2C9029C6" w:rsidR="00164357" w:rsidRPr="00F20B31" w:rsidRDefault="00164357" w:rsidP="00164357">
      <w:pPr>
        <w:widowControl/>
        <w:suppressAutoHyphens/>
        <w:rPr>
          <w:bCs/>
          <w:sz w:val="18"/>
          <w:szCs w:val="18"/>
        </w:rPr>
      </w:pPr>
      <w:r w:rsidRPr="00F20B31">
        <w:rPr>
          <w:bCs/>
          <w:sz w:val="18"/>
          <w:szCs w:val="18"/>
        </w:rPr>
        <w:tab/>
        <w:t>(b)  violence risk and violence risk management planning.</w:t>
      </w:r>
    </w:p>
    <w:p w14:paraId="4054EEA3" w14:textId="4AD004BF" w:rsidR="00164357" w:rsidRPr="00F20B31" w:rsidRDefault="00164357" w:rsidP="00164357">
      <w:pPr>
        <w:widowControl/>
        <w:suppressAutoHyphens/>
        <w:rPr>
          <w:bCs/>
          <w:sz w:val="18"/>
          <w:szCs w:val="18"/>
        </w:rPr>
      </w:pPr>
      <w:r w:rsidRPr="00F20B31">
        <w:rPr>
          <w:bCs/>
          <w:sz w:val="18"/>
          <w:szCs w:val="18"/>
        </w:rPr>
        <w:tab/>
        <w:t>(7)  A behavioral health receiving center shall provide each client with access to an appropriate level of care by providing physical and behavioral health services or coordinating with the broader health and behavioral health treatment and recovery system, which includes:</w:t>
      </w:r>
    </w:p>
    <w:p w14:paraId="1553C0BA" w14:textId="77777777" w:rsidR="00164357" w:rsidRPr="00F20B31" w:rsidRDefault="00164357" w:rsidP="00164357">
      <w:pPr>
        <w:widowControl/>
        <w:suppressAutoHyphens/>
        <w:rPr>
          <w:bCs/>
          <w:sz w:val="18"/>
          <w:szCs w:val="18"/>
        </w:rPr>
      </w:pPr>
      <w:r w:rsidRPr="00F20B31">
        <w:rPr>
          <w:bCs/>
          <w:sz w:val="18"/>
          <w:szCs w:val="18"/>
        </w:rPr>
        <w:tab/>
        <w:t>(a)  for-profit and nonprofit medical and hospital providers;</w:t>
      </w:r>
    </w:p>
    <w:p w14:paraId="49156D6C" w14:textId="77777777" w:rsidR="00164357" w:rsidRPr="00F20B31" w:rsidRDefault="00164357" w:rsidP="00164357">
      <w:pPr>
        <w:widowControl/>
        <w:suppressAutoHyphens/>
        <w:rPr>
          <w:bCs/>
          <w:sz w:val="18"/>
          <w:szCs w:val="18"/>
        </w:rPr>
      </w:pPr>
      <w:r w:rsidRPr="00F20B31">
        <w:rPr>
          <w:bCs/>
          <w:sz w:val="18"/>
          <w:szCs w:val="18"/>
        </w:rPr>
        <w:tab/>
        <w:t>(b)  for-profit and nonprofit mental health and substance use treatment providers; and</w:t>
      </w:r>
    </w:p>
    <w:p w14:paraId="56139782" w14:textId="77777777" w:rsidR="00164357" w:rsidRPr="00F20B31" w:rsidRDefault="00164357" w:rsidP="00164357">
      <w:pPr>
        <w:widowControl/>
        <w:suppressAutoHyphens/>
        <w:rPr>
          <w:bCs/>
          <w:sz w:val="18"/>
          <w:szCs w:val="18"/>
        </w:rPr>
      </w:pPr>
      <w:r w:rsidRPr="00F20B31">
        <w:rPr>
          <w:bCs/>
          <w:sz w:val="18"/>
          <w:szCs w:val="18"/>
        </w:rPr>
        <w:lastRenderedPageBreak/>
        <w:tab/>
        <w:t>(c)  the local mental health authorities.</w:t>
      </w:r>
    </w:p>
    <w:p w14:paraId="48A836CF" w14:textId="2CA4DCB1" w:rsidR="00164357" w:rsidRPr="00F20B31" w:rsidRDefault="00164357" w:rsidP="00164357">
      <w:pPr>
        <w:widowControl/>
        <w:suppressAutoHyphens/>
        <w:rPr>
          <w:bCs/>
          <w:sz w:val="18"/>
          <w:szCs w:val="18"/>
        </w:rPr>
      </w:pPr>
      <w:r w:rsidRPr="00F20B31">
        <w:rPr>
          <w:bCs/>
          <w:sz w:val="18"/>
          <w:szCs w:val="18"/>
        </w:rPr>
        <w:tab/>
        <w:t>(8)  To provide an appropriate level of care, each provider shall:</w:t>
      </w:r>
    </w:p>
    <w:p w14:paraId="784B8235" w14:textId="354C777B" w:rsidR="00164357" w:rsidRPr="00F20B31" w:rsidRDefault="00164357" w:rsidP="00164357">
      <w:pPr>
        <w:widowControl/>
        <w:suppressAutoHyphens/>
        <w:rPr>
          <w:bCs/>
          <w:sz w:val="18"/>
          <w:szCs w:val="18"/>
        </w:rPr>
      </w:pPr>
      <w:r w:rsidRPr="00F20B31">
        <w:rPr>
          <w:bCs/>
          <w:sz w:val="18"/>
          <w:szCs w:val="18"/>
        </w:rPr>
        <w:tab/>
        <w:t>(a)  immediately place individuals into an indicated service such as:</w:t>
      </w:r>
    </w:p>
    <w:p w14:paraId="03CF1163" w14:textId="77777777" w:rsidR="00164357" w:rsidRPr="00F20B31" w:rsidRDefault="00164357" w:rsidP="00164357">
      <w:pPr>
        <w:widowControl/>
        <w:suppressAutoHyphens/>
        <w:rPr>
          <w:bCs/>
          <w:sz w:val="18"/>
          <w:szCs w:val="18"/>
        </w:rPr>
      </w:pPr>
      <w:r w:rsidRPr="00F20B31">
        <w:rPr>
          <w:bCs/>
          <w:sz w:val="18"/>
          <w:szCs w:val="18"/>
        </w:rPr>
        <w:tab/>
        <w:t>(i)  a medical detoxification unit;</w:t>
      </w:r>
    </w:p>
    <w:p w14:paraId="39DAA642" w14:textId="51907031" w:rsidR="00164357" w:rsidRPr="00F20B31" w:rsidRDefault="00164357" w:rsidP="00164357">
      <w:pPr>
        <w:widowControl/>
        <w:suppressAutoHyphens/>
        <w:rPr>
          <w:bCs/>
          <w:sz w:val="18"/>
          <w:szCs w:val="18"/>
        </w:rPr>
      </w:pPr>
      <w:r w:rsidRPr="00F20B31">
        <w:rPr>
          <w:bCs/>
          <w:sz w:val="18"/>
          <w:szCs w:val="18"/>
        </w:rPr>
        <w:tab/>
        <w:t>(ii)  a social detoxification unit;</w:t>
      </w:r>
    </w:p>
    <w:p w14:paraId="1428FAA9" w14:textId="2D2CDEB8" w:rsidR="00164357" w:rsidRPr="00F20B31" w:rsidRDefault="00164357" w:rsidP="00164357">
      <w:pPr>
        <w:widowControl/>
        <w:suppressAutoHyphens/>
        <w:rPr>
          <w:bCs/>
          <w:sz w:val="18"/>
          <w:szCs w:val="18"/>
        </w:rPr>
      </w:pPr>
      <w:r w:rsidRPr="00F20B31">
        <w:rPr>
          <w:bCs/>
          <w:sz w:val="18"/>
          <w:szCs w:val="18"/>
        </w:rPr>
        <w:tab/>
        <w:t>(iii)  withdrawal management;</w:t>
      </w:r>
    </w:p>
    <w:p w14:paraId="0324E038" w14:textId="2D69074C" w:rsidR="00164357" w:rsidRPr="00F20B31" w:rsidRDefault="00164357" w:rsidP="00164357">
      <w:pPr>
        <w:widowControl/>
        <w:suppressAutoHyphens/>
        <w:rPr>
          <w:bCs/>
          <w:sz w:val="18"/>
          <w:szCs w:val="18"/>
        </w:rPr>
      </w:pPr>
      <w:r w:rsidRPr="00F20B31">
        <w:rPr>
          <w:bCs/>
          <w:sz w:val="18"/>
          <w:szCs w:val="18"/>
        </w:rPr>
        <w:tab/>
        <w:t>(iv)  medication management;</w:t>
      </w:r>
    </w:p>
    <w:p w14:paraId="38BA6803" w14:textId="3149A8E8" w:rsidR="00164357" w:rsidRPr="00F20B31" w:rsidRDefault="00164357" w:rsidP="00164357">
      <w:pPr>
        <w:widowControl/>
        <w:suppressAutoHyphens/>
        <w:rPr>
          <w:bCs/>
          <w:sz w:val="18"/>
          <w:szCs w:val="18"/>
        </w:rPr>
      </w:pPr>
      <w:r w:rsidRPr="00F20B31">
        <w:rPr>
          <w:bCs/>
          <w:sz w:val="18"/>
          <w:szCs w:val="18"/>
        </w:rPr>
        <w:tab/>
        <w:t>(v)  residential treatment;</w:t>
      </w:r>
    </w:p>
    <w:p w14:paraId="62350040" w14:textId="71E18BE5" w:rsidR="00164357" w:rsidRPr="00F20B31" w:rsidRDefault="00164357" w:rsidP="00164357">
      <w:pPr>
        <w:widowControl/>
        <w:suppressAutoHyphens/>
        <w:rPr>
          <w:bCs/>
          <w:sz w:val="18"/>
          <w:szCs w:val="18"/>
        </w:rPr>
      </w:pPr>
      <w:r w:rsidRPr="00F20B31">
        <w:rPr>
          <w:bCs/>
          <w:sz w:val="18"/>
          <w:szCs w:val="18"/>
        </w:rPr>
        <w:tab/>
        <w:t>(vi)  intensive outpatient treatment for a mental illness or substance use disorder; or</w:t>
      </w:r>
    </w:p>
    <w:p w14:paraId="26577AD5" w14:textId="0EDFD3BB" w:rsidR="00164357" w:rsidRPr="00F20B31" w:rsidRDefault="00164357" w:rsidP="00164357">
      <w:pPr>
        <w:widowControl/>
        <w:suppressAutoHyphens/>
        <w:rPr>
          <w:bCs/>
          <w:sz w:val="18"/>
          <w:szCs w:val="18"/>
        </w:rPr>
      </w:pPr>
      <w:r w:rsidRPr="00F20B31">
        <w:rPr>
          <w:bCs/>
          <w:sz w:val="18"/>
          <w:szCs w:val="18"/>
        </w:rPr>
        <w:tab/>
        <w:t>(b)  a warm hand off or referral to ongoing, long term services such as the following:</w:t>
      </w:r>
    </w:p>
    <w:p w14:paraId="05100038" w14:textId="3BCA7457" w:rsidR="00164357" w:rsidRPr="00F20B31" w:rsidRDefault="00164357" w:rsidP="00164357">
      <w:pPr>
        <w:widowControl/>
        <w:suppressAutoHyphens/>
        <w:rPr>
          <w:bCs/>
          <w:sz w:val="18"/>
          <w:szCs w:val="18"/>
        </w:rPr>
      </w:pPr>
      <w:r w:rsidRPr="00F20B31">
        <w:rPr>
          <w:bCs/>
          <w:sz w:val="18"/>
          <w:szCs w:val="18"/>
        </w:rPr>
        <w:tab/>
        <w:t>(i)  case management;</w:t>
      </w:r>
    </w:p>
    <w:p w14:paraId="51E518B8" w14:textId="60DE0B6A" w:rsidR="00164357" w:rsidRPr="00F20B31" w:rsidRDefault="00164357" w:rsidP="00164357">
      <w:pPr>
        <w:widowControl/>
        <w:suppressAutoHyphens/>
        <w:rPr>
          <w:bCs/>
          <w:sz w:val="18"/>
          <w:szCs w:val="18"/>
        </w:rPr>
      </w:pPr>
      <w:r w:rsidRPr="00F20B31">
        <w:rPr>
          <w:bCs/>
          <w:sz w:val="18"/>
          <w:szCs w:val="18"/>
        </w:rPr>
        <w:tab/>
        <w:t>(ii)  peer support;</w:t>
      </w:r>
    </w:p>
    <w:p w14:paraId="5CF22368" w14:textId="4168CB3B" w:rsidR="00164357" w:rsidRPr="00F20B31" w:rsidRDefault="00164357" w:rsidP="00164357">
      <w:pPr>
        <w:widowControl/>
        <w:suppressAutoHyphens/>
        <w:rPr>
          <w:bCs/>
          <w:sz w:val="18"/>
          <w:szCs w:val="18"/>
        </w:rPr>
      </w:pPr>
      <w:r w:rsidRPr="00F20B31">
        <w:rPr>
          <w:bCs/>
          <w:sz w:val="18"/>
          <w:szCs w:val="18"/>
        </w:rPr>
        <w:tab/>
        <w:t>(iii)  psychotherapy;</w:t>
      </w:r>
    </w:p>
    <w:p w14:paraId="50454172" w14:textId="6C497B96" w:rsidR="00164357" w:rsidRPr="00F20B31" w:rsidRDefault="00164357" w:rsidP="00164357">
      <w:pPr>
        <w:widowControl/>
        <w:suppressAutoHyphens/>
        <w:rPr>
          <w:bCs/>
          <w:sz w:val="18"/>
          <w:szCs w:val="18"/>
        </w:rPr>
      </w:pPr>
      <w:r w:rsidRPr="00F20B31">
        <w:rPr>
          <w:bCs/>
          <w:sz w:val="18"/>
          <w:szCs w:val="18"/>
        </w:rPr>
        <w:tab/>
        <w:t>(iv)  medication management;</w:t>
      </w:r>
    </w:p>
    <w:p w14:paraId="0BEC8523" w14:textId="5A170B92" w:rsidR="00164357" w:rsidRPr="00F20B31" w:rsidRDefault="00164357" w:rsidP="00164357">
      <w:pPr>
        <w:widowControl/>
        <w:suppressAutoHyphens/>
        <w:rPr>
          <w:bCs/>
          <w:sz w:val="18"/>
          <w:szCs w:val="18"/>
        </w:rPr>
      </w:pPr>
      <w:r w:rsidRPr="00F20B31">
        <w:rPr>
          <w:bCs/>
          <w:sz w:val="18"/>
          <w:szCs w:val="18"/>
        </w:rPr>
        <w:tab/>
        <w:t>(v)  medication assisted treatment;</w:t>
      </w:r>
    </w:p>
    <w:p w14:paraId="0BBC5793" w14:textId="77777777" w:rsidR="00164357" w:rsidRPr="00F20B31" w:rsidRDefault="00164357" w:rsidP="00164357">
      <w:pPr>
        <w:widowControl/>
        <w:suppressAutoHyphens/>
        <w:rPr>
          <w:bCs/>
          <w:sz w:val="18"/>
          <w:szCs w:val="18"/>
        </w:rPr>
      </w:pPr>
      <w:r w:rsidRPr="00F20B31">
        <w:rPr>
          <w:bCs/>
          <w:sz w:val="18"/>
          <w:szCs w:val="18"/>
        </w:rPr>
        <w:tab/>
        <w:t>(vi)  substance use treatment;</w:t>
      </w:r>
    </w:p>
    <w:p w14:paraId="53785D4C" w14:textId="4123D766" w:rsidR="00164357" w:rsidRPr="00F20B31" w:rsidRDefault="00164357" w:rsidP="00164357">
      <w:pPr>
        <w:widowControl/>
        <w:suppressAutoHyphens/>
        <w:rPr>
          <w:bCs/>
          <w:sz w:val="18"/>
          <w:szCs w:val="18"/>
        </w:rPr>
      </w:pPr>
      <w:r w:rsidRPr="00F20B31">
        <w:rPr>
          <w:bCs/>
          <w:sz w:val="18"/>
          <w:szCs w:val="18"/>
        </w:rPr>
        <w:tab/>
        <w:t>(vii)  housing; or</w:t>
      </w:r>
    </w:p>
    <w:p w14:paraId="4B9FFD9B" w14:textId="77777777" w:rsidR="00164357" w:rsidRPr="00F20B31" w:rsidRDefault="00164357" w:rsidP="00164357">
      <w:pPr>
        <w:widowControl/>
        <w:suppressAutoHyphens/>
        <w:rPr>
          <w:bCs/>
          <w:sz w:val="18"/>
          <w:szCs w:val="18"/>
        </w:rPr>
      </w:pPr>
      <w:r w:rsidRPr="00F20B31">
        <w:rPr>
          <w:bCs/>
          <w:sz w:val="18"/>
          <w:szCs w:val="18"/>
        </w:rPr>
        <w:tab/>
        <w:t>(viii)  employment.</w:t>
      </w:r>
    </w:p>
    <w:p w14:paraId="53D10AB5" w14:textId="77777777" w:rsidR="00164357" w:rsidRPr="00F20B31" w:rsidRDefault="00164357" w:rsidP="00164357">
      <w:pPr>
        <w:widowControl/>
        <w:suppressAutoHyphens/>
        <w:rPr>
          <w:bCs/>
          <w:sz w:val="18"/>
          <w:szCs w:val="18"/>
        </w:rPr>
      </w:pPr>
      <w:r w:rsidRPr="00F20B31">
        <w:rPr>
          <w:bCs/>
          <w:sz w:val="18"/>
          <w:szCs w:val="18"/>
        </w:rPr>
        <w:tab/>
        <w:t>(9)  A behavioral health receiving center may submit a written application to the Office of Substance Use and Mental Health to be granted an exception to a requirement of this rule.</w:t>
      </w:r>
    </w:p>
    <w:p w14:paraId="1594B512" w14:textId="77777777" w:rsidR="00164357" w:rsidRPr="00F20B31" w:rsidRDefault="00164357" w:rsidP="00164357">
      <w:pPr>
        <w:widowControl/>
        <w:suppressAutoHyphens/>
        <w:rPr>
          <w:bCs/>
          <w:sz w:val="18"/>
          <w:szCs w:val="18"/>
        </w:rPr>
      </w:pPr>
      <w:r w:rsidRPr="00F20B31">
        <w:rPr>
          <w:bCs/>
          <w:sz w:val="18"/>
          <w:szCs w:val="18"/>
        </w:rPr>
        <w:tab/>
        <w:t>(10)  The director of the Office of Substance Use and Mental Health or designee may grant an exception to a requirement of this rule for a behavioral health receiving center if the director or designee finds that the exception is not reasonably likely to impact client well-being.</w:t>
      </w:r>
    </w:p>
    <w:p w14:paraId="04F33BEC" w14:textId="77777777" w:rsidR="00164357" w:rsidRPr="00F20B31" w:rsidRDefault="00164357" w:rsidP="00164357">
      <w:pPr>
        <w:widowControl/>
        <w:suppressAutoHyphens/>
        <w:rPr>
          <w:sz w:val="18"/>
          <w:szCs w:val="18"/>
          <w:lang w:val="en"/>
        </w:rPr>
      </w:pPr>
    </w:p>
    <w:p w14:paraId="024E920C" w14:textId="77777777" w:rsidR="00164357" w:rsidRPr="00F20B31" w:rsidRDefault="00164357" w:rsidP="00164357">
      <w:pPr>
        <w:widowControl/>
        <w:suppressAutoHyphens/>
        <w:rPr>
          <w:sz w:val="18"/>
          <w:szCs w:val="18"/>
          <w:lang w:val="en"/>
        </w:rPr>
      </w:pPr>
      <w:r w:rsidRPr="00F20B31">
        <w:rPr>
          <w:b/>
          <w:bCs/>
          <w:sz w:val="18"/>
          <w:szCs w:val="18"/>
          <w:lang w:val="en"/>
        </w:rPr>
        <w:t>R523-21-4.  Receiving Center Funding Structure.</w:t>
      </w:r>
    </w:p>
    <w:p w14:paraId="1B458A83" w14:textId="77777777" w:rsidR="00164357" w:rsidRPr="00F20B31" w:rsidRDefault="00164357" w:rsidP="00164357">
      <w:pPr>
        <w:widowControl/>
        <w:suppressAutoHyphens/>
        <w:rPr>
          <w:sz w:val="18"/>
          <w:szCs w:val="18"/>
          <w:lang w:val="en"/>
        </w:rPr>
      </w:pPr>
      <w:r w:rsidRPr="00F20B31">
        <w:rPr>
          <w:sz w:val="18"/>
          <w:szCs w:val="18"/>
          <w:lang w:val="en"/>
        </w:rPr>
        <w:tab/>
        <w:t>(1)  Table 1 describes a county's portion of funding risk with the state based on a county's classification.</w:t>
      </w:r>
    </w:p>
    <w:p w14:paraId="55DF8740" w14:textId="77777777" w:rsidR="00164357" w:rsidRPr="00F20B31" w:rsidRDefault="00164357" w:rsidP="00164357">
      <w:pPr>
        <w:widowControl/>
        <w:suppressAutoHyphens/>
        <w:rPr>
          <w:sz w:val="18"/>
          <w:szCs w:val="18"/>
          <w:lang w:val="en"/>
        </w:rPr>
      </w:pPr>
      <w:r w:rsidRPr="00F20B31">
        <w:rPr>
          <w:sz w:val="18"/>
          <w:szCs w:val="18"/>
          <w:lang w:val="en"/>
        </w:rPr>
        <w:tab/>
        <w:t>(2)  Table 2 describes how a county's portion of funding risk with the state will increase over time.  A county shall leverage Medicaid and private payer reimbursements and other funding to cover its portion of the funding risk.</w:t>
      </w:r>
    </w:p>
    <w:p w14:paraId="7B5493EA" w14:textId="77777777" w:rsidR="00164357" w:rsidRPr="00F20B31" w:rsidRDefault="00164357" w:rsidP="00164357">
      <w:pPr>
        <w:widowControl/>
        <w:suppressAutoHyphens/>
        <w:rPr>
          <w:sz w:val="18"/>
          <w:szCs w:val="18"/>
        </w:rPr>
      </w:pPr>
    </w:p>
    <w:tbl>
      <w:tblPr>
        <w:tblStyle w:val="TableGrid"/>
        <w:tblW w:w="0" w:type="auto"/>
        <w:tblLook w:val="04A0" w:firstRow="1" w:lastRow="0" w:firstColumn="1" w:lastColumn="0" w:noHBand="0" w:noVBand="1"/>
      </w:tblPr>
      <w:tblGrid>
        <w:gridCol w:w="2475"/>
        <w:gridCol w:w="3776"/>
        <w:gridCol w:w="3099"/>
      </w:tblGrid>
      <w:tr w:rsidR="00164357" w:rsidRPr="00F20B31" w14:paraId="3386409B" w14:textId="77777777" w:rsidTr="00B73734">
        <w:tc>
          <w:tcPr>
            <w:tcW w:w="9985" w:type="dxa"/>
            <w:gridSpan w:val="3"/>
          </w:tcPr>
          <w:p w14:paraId="76BB66E6" w14:textId="77777777" w:rsidR="00164357" w:rsidRPr="00F20B31" w:rsidRDefault="00164357" w:rsidP="00164357">
            <w:pPr>
              <w:widowControl/>
              <w:suppressAutoHyphens/>
              <w:jc w:val="center"/>
              <w:rPr>
                <w:sz w:val="18"/>
                <w:szCs w:val="18"/>
              </w:rPr>
            </w:pPr>
            <w:r w:rsidRPr="00F20B31">
              <w:rPr>
                <w:sz w:val="18"/>
                <w:szCs w:val="18"/>
              </w:rPr>
              <w:t>TABLE 1</w:t>
            </w:r>
          </w:p>
          <w:p w14:paraId="0E677F2B" w14:textId="77777777" w:rsidR="00164357" w:rsidRPr="00F20B31" w:rsidRDefault="00164357" w:rsidP="00164357">
            <w:pPr>
              <w:widowControl/>
              <w:suppressAutoHyphens/>
              <w:jc w:val="center"/>
              <w:rPr>
                <w:sz w:val="18"/>
                <w:szCs w:val="18"/>
              </w:rPr>
            </w:pPr>
            <w:r w:rsidRPr="00F20B31">
              <w:rPr>
                <w:sz w:val="18"/>
                <w:szCs w:val="18"/>
              </w:rPr>
              <w:t>Funding Coverage</w:t>
            </w:r>
          </w:p>
        </w:tc>
      </w:tr>
      <w:tr w:rsidR="00164357" w:rsidRPr="00F20B31" w14:paraId="08C31936" w14:textId="77777777" w:rsidTr="00B73734">
        <w:tc>
          <w:tcPr>
            <w:tcW w:w="2605" w:type="dxa"/>
          </w:tcPr>
          <w:p w14:paraId="406945B0" w14:textId="77777777" w:rsidR="00164357" w:rsidRPr="00F20B31" w:rsidRDefault="00164357" w:rsidP="00164357">
            <w:pPr>
              <w:widowControl/>
              <w:suppressAutoHyphens/>
              <w:rPr>
                <w:sz w:val="18"/>
                <w:szCs w:val="18"/>
              </w:rPr>
            </w:pPr>
            <w:r w:rsidRPr="00F20B31">
              <w:rPr>
                <w:sz w:val="18"/>
                <w:szCs w:val="18"/>
              </w:rPr>
              <w:t>County Classification</w:t>
            </w:r>
          </w:p>
        </w:tc>
        <w:tc>
          <w:tcPr>
            <w:tcW w:w="4050" w:type="dxa"/>
          </w:tcPr>
          <w:p w14:paraId="21A34070" w14:textId="77777777" w:rsidR="00164357" w:rsidRPr="00F20B31" w:rsidRDefault="00164357" w:rsidP="00164357">
            <w:pPr>
              <w:widowControl/>
              <w:suppressAutoHyphens/>
              <w:rPr>
                <w:sz w:val="18"/>
                <w:szCs w:val="18"/>
              </w:rPr>
            </w:pPr>
            <w:r w:rsidRPr="00F20B31">
              <w:rPr>
                <w:sz w:val="18"/>
                <w:szCs w:val="18"/>
              </w:rPr>
              <w:t>State Responsible Share of Total Operational Cost</w:t>
            </w:r>
          </w:p>
        </w:tc>
        <w:tc>
          <w:tcPr>
            <w:tcW w:w="3330" w:type="dxa"/>
          </w:tcPr>
          <w:p w14:paraId="0EEBD7D1" w14:textId="77777777" w:rsidR="00164357" w:rsidRPr="00F20B31" w:rsidRDefault="00164357" w:rsidP="00164357">
            <w:pPr>
              <w:widowControl/>
              <w:suppressAutoHyphens/>
              <w:rPr>
                <w:sz w:val="18"/>
                <w:szCs w:val="18"/>
              </w:rPr>
            </w:pPr>
            <w:r w:rsidRPr="00F20B31">
              <w:rPr>
                <w:sz w:val="18"/>
                <w:szCs w:val="18"/>
              </w:rPr>
              <w:t>Risk Corridor</w:t>
            </w:r>
          </w:p>
        </w:tc>
      </w:tr>
      <w:tr w:rsidR="00164357" w:rsidRPr="00F20B31" w14:paraId="35BA705D" w14:textId="77777777" w:rsidTr="00B73734">
        <w:tc>
          <w:tcPr>
            <w:tcW w:w="2605" w:type="dxa"/>
          </w:tcPr>
          <w:p w14:paraId="3FAAED81" w14:textId="77777777" w:rsidR="00164357" w:rsidRPr="00F20B31" w:rsidRDefault="00164357" w:rsidP="00164357">
            <w:pPr>
              <w:widowControl/>
              <w:suppressAutoHyphens/>
              <w:rPr>
                <w:sz w:val="18"/>
                <w:szCs w:val="18"/>
              </w:rPr>
            </w:pPr>
            <w:r w:rsidRPr="00F20B31">
              <w:rPr>
                <w:sz w:val="18"/>
                <w:szCs w:val="18"/>
              </w:rPr>
              <w:t>1st</w:t>
            </w:r>
          </w:p>
        </w:tc>
        <w:tc>
          <w:tcPr>
            <w:tcW w:w="4050" w:type="dxa"/>
          </w:tcPr>
          <w:p w14:paraId="1B66533E" w14:textId="77777777" w:rsidR="00164357" w:rsidRPr="00F20B31" w:rsidRDefault="00164357" w:rsidP="00164357">
            <w:pPr>
              <w:widowControl/>
              <w:suppressAutoHyphens/>
              <w:rPr>
                <w:sz w:val="18"/>
                <w:szCs w:val="18"/>
              </w:rPr>
            </w:pPr>
            <w:r w:rsidRPr="00F20B31">
              <w:rPr>
                <w:sz w:val="18"/>
                <w:szCs w:val="18"/>
              </w:rPr>
              <w:t>60%</w:t>
            </w:r>
          </w:p>
        </w:tc>
        <w:tc>
          <w:tcPr>
            <w:tcW w:w="3330" w:type="dxa"/>
          </w:tcPr>
          <w:p w14:paraId="3F944226" w14:textId="77777777" w:rsidR="00164357" w:rsidRPr="00F20B31" w:rsidRDefault="00164357" w:rsidP="00164357">
            <w:pPr>
              <w:widowControl/>
              <w:suppressAutoHyphens/>
              <w:rPr>
                <w:sz w:val="18"/>
                <w:szCs w:val="18"/>
              </w:rPr>
            </w:pPr>
            <w:r w:rsidRPr="00F20B31">
              <w:rPr>
                <w:sz w:val="18"/>
                <w:szCs w:val="18"/>
              </w:rPr>
              <w:t>40%</w:t>
            </w:r>
          </w:p>
        </w:tc>
      </w:tr>
      <w:tr w:rsidR="00164357" w:rsidRPr="00F20B31" w14:paraId="2E11E09D" w14:textId="77777777" w:rsidTr="00B73734">
        <w:tc>
          <w:tcPr>
            <w:tcW w:w="2605" w:type="dxa"/>
          </w:tcPr>
          <w:p w14:paraId="4C758157" w14:textId="77777777" w:rsidR="00164357" w:rsidRPr="00F20B31" w:rsidRDefault="00164357" w:rsidP="00164357">
            <w:pPr>
              <w:widowControl/>
              <w:suppressAutoHyphens/>
              <w:rPr>
                <w:sz w:val="18"/>
                <w:szCs w:val="18"/>
              </w:rPr>
            </w:pPr>
            <w:r w:rsidRPr="00F20B31">
              <w:rPr>
                <w:sz w:val="18"/>
                <w:szCs w:val="18"/>
              </w:rPr>
              <w:t>2nd a*</w:t>
            </w:r>
          </w:p>
        </w:tc>
        <w:tc>
          <w:tcPr>
            <w:tcW w:w="4050" w:type="dxa"/>
          </w:tcPr>
          <w:p w14:paraId="52EFD37A" w14:textId="77777777" w:rsidR="00164357" w:rsidRPr="00F20B31" w:rsidRDefault="00164357" w:rsidP="00164357">
            <w:pPr>
              <w:widowControl/>
              <w:suppressAutoHyphens/>
              <w:rPr>
                <w:sz w:val="18"/>
                <w:szCs w:val="18"/>
              </w:rPr>
            </w:pPr>
            <w:r w:rsidRPr="00F20B31">
              <w:rPr>
                <w:sz w:val="18"/>
                <w:szCs w:val="18"/>
              </w:rPr>
              <w:t>70%</w:t>
            </w:r>
          </w:p>
        </w:tc>
        <w:tc>
          <w:tcPr>
            <w:tcW w:w="3330" w:type="dxa"/>
          </w:tcPr>
          <w:p w14:paraId="5590C63C" w14:textId="77777777" w:rsidR="00164357" w:rsidRPr="00F20B31" w:rsidRDefault="00164357" w:rsidP="00164357">
            <w:pPr>
              <w:widowControl/>
              <w:suppressAutoHyphens/>
              <w:rPr>
                <w:sz w:val="18"/>
                <w:szCs w:val="18"/>
              </w:rPr>
            </w:pPr>
            <w:r w:rsidRPr="00F20B31">
              <w:rPr>
                <w:sz w:val="18"/>
                <w:szCs w:val="18"/>
              </w:rPr>
              <w:t>30%</w:t>
            </w:r>
          </w:p>
        </w:tc>
      </w:tr>
      <w:tr w:rsidR="00164357" w:rsidRPr="00F20B31" w14:paraId="036CFA7C" w14:textId="77777777" w:rsidTr="00B73734">
        <w:tc>
          <w:tcPr>
            <w:tcW w:w="2605" w:type="dxa"/>
          </w:tcPr>
          <w:p w14:paraId="7EE2A153" w14:textId="77777777" w:rsidR="00164357" w:rsidRPr="00F20B31" w:rsidRDefault="00164357" w:rsidP="00164357">
            <w:pPr>
              <w:widowControl/>
              <w:suppressAutoHyphens/>
              <w:rPr>
                <w:sz w:val="18"/>
                <w:szCs w:val="18"/>
              </w:rPr>
            </w:pPr>
            <w:r w:rsidRPr="00F20B31">
              <w:rPr>
                <w:sz w:val="18"/>
                <w:szCs w:val="18"/>
              </w:rPr>
              <w:t>2nd b**</w:t>
            </w:r>
          </w:p>
        </w:tc>
        <w:tc>
          <w:tcPr>
            <w:tcW w:w="4050" w:type="dxa"/>
          </w:tcPr>
          <w:p w14:paraId="5753F97E" w14:textId="77777777" w:rsidR="00164357" w:rsidRPr="00F20B31" w:rsidRDefault="00164357" w:rsidP="00164357">
            <w:pPr>
              <w:widowControl/>
              <w:suppressAutoHyphens/>
              <w:rPr>
                <w:sz w:val="18"/>
                <w:szCs w:val="18"/>
              </w:rPr>
            </w:pPr>
            <w:r w:rsidRPr="00F20B31">
              <w:rPr>
                <w:sz w:val="18"/>
                <w:szCs w:val="18"/>
              </w:rPr>
              <w:t>75%</w:t>
            </w:r>
          </w:p>
        </w:tc>
        <w:tc>
          <w:tcPr>
            <w:tcW w:w="3330" w:type="dxa"/>
          </w:tcPr>
          <w:p w14:paraId="4B9738DB" w14:textId="77777777" w:rsidR="00164357" w:rsidRPr="00F20B31" w:rsidRDefault="00164357" w:rsidP="00164357">
            <w:pPr>
              <w:widowControl/>
              <w:suppressAutoHyphens/>
              <w:rPr>
                <w:sz w:val="18"/>
                <w:szCs w:val="18"/>
              </w:rPr>
            </w:pPr>
            <w:r w:rsidRPr="00F20B31">
              <w:rPr>
                <w:sz w:val="18"/>
                <w:szCs w:val="18"/>
              </w:rPr>
              <w:t>25%</w:t>
            </w:r>
          </w:p>
        </w:tc>
      </w:tr>
      <w:tr w:rsidR="00164357" w:rsidRPr="00F20B31" w14:paraId="63AE020F" w14:textId="77777777" w:rsidTr="00B73734">
        <w:tc>
          <w:tcPr>
            <w:tcW w:w="2605" w:type="dxa"/>
          </w:tcPr>
          <w:p w14:paraId="06D2211F" w14:textId="77777777" w:rsidR="00164357" w:rsidRPr="00F20B31" w:rsidRDefault="00164357" w:rsidP="00164357">
            <w:pPr>
              <w:widowControl/>
              <w:suppressAutoHyphens/>
              <w:rPr>
                <w:sz w:val="18"/>
                <w:szCs w:val="18"/>
              </w:rPr>
            </w:pPr>
            <w:r w:rsidRPr="00F20B31">
              <w:rPr>
                <w:sz w:val="18"/>
                <w:szCs w:val="18"/>
              </w:rPr>
              <w:t>3rd-6th</w:t>
            </w:r>
          </w:p>
        </w:tc>
        <w:tc>
          <w:tcPr>
            <w:tcW w:w="4050" w:type="dxa"/>
          </w:tcPr>
          <w:p w14:paraId="464D4CF9" w14:textId="77777777" w:rsidR="00164357" w:rsidRPr="00F20B31" w:rsidRDefault="00164357" w:rsidP="00164357">
            <w:pPr>
              <w:widowControl/>
              <w:suppressAutoHyphens/>
              <w:rPr>
                <w:sz w:val="18"/>
                <w:szCs w:val="18"/>
              </w:rPr>
            </w:pPr>
            <w:r w:rsidRPr="00F20B31">
              <w:rPr>
                <w:sz w:val="18"/>
                <w:szCs w:val="18"/>
              </w:rPr>
              <w:t>80%</w:t>
            </w:r>
          </w:p>
        </w:tc>
        <w:tc>
          <w:tcPr>
            <w:tcW w:w="3330" w:type="dxa"/>
          </w:tcPr>
          <w:p w14:paraId="1E8EB477" w14:textId="77777777" w:rsidR="00164357" w:rsidRPr="00F20B31" w:rsidRDefault="00164357" w:rsidP="00164357">
            <w:pPr>
              <w:widowControl/>
              <w:suppressAutoHyphens/>
              <w:rPr>
                <w:sz w:val="18"/>
                <w:szCs w:val="18"/>
              </w:rPr>
            </w:pPr>
            <w:r w:rsidRPr="00F20B31">
              <w:rPr>
                <w:sz w:val="18"/>
                <w:szCs w:val="18"/>
              </w:rPr>
              <w:t>20%</w:t>
            </w:r>
          </w:p>
        </w:tc>
      </w:tr>
      <w:tr w:rsidR="00164357" w:rsidRPr="00F20B31" w14:paraId="45BF25A2" w14:textId="77777777" w:rsidTr="00B73734">
        <w:tc>
          <w:tcPr>
            <w:tcW w:w="9985" w:type="dxa"/>
            <w:gridSpan w:val="3"/>
          </w:tcPr>
          <w:p w14:paraId="2591E892" w14:textId="77777777" w:rsidR="00164357" w:rsidRPr="00F20B31" w:rsidRDefault="00164357" w:rsidP="00164357">
            <w:pPr>
              <w:widowControl/>
              <w:suppressAutoHyphens/>
              <w:rPr>
                <w:sz w:val="18"/>
                <w:szCs w:val="18"/>
              </w:rPr>
            </w:pPr>
            <w:r w:rsidRPr="00F20B31">
              <w:rPr>
                <w:sz w:val="18"/>
                <w:szCs w:val="18"/>
              </w:rPr>
              <w:t>A county's classification is determined in accordance with Section 17-50-501.  Second class has been divided into two subcategories for this rule:</w:t>
            </w:r>
          </w:p>
          <w:p w14:paraId="6993EAD3" w14:textId="77777777" w:rsidR="00164357" w:rsidRPr="00F20B31" w:rsidRDefault="00164357" w:rsidP="00164357">
            <w:pPr>
              <w:widowControl/>
              <w:suppressAutoHyphens/>
              <w:rPr>
                <w:sz w:val="18"/>
                <w:szCs w:val="18"/>
              </w:rPr>
            </w:pPr>
            <w:r w:rsidRPr="00F20B31">
              <w:rPr>
                <w:sz w:val="18"/>
                <w:szCs w:val="18"/>
              </w:rPr>
              <w:t>a* class counties are Utah County and Davis County</w:t>
            </w:r>
          </w:p>
          <w:p w14:paraId="6AA48CEC" w14:textId="77777777" w:rsidR="00164357" w:rsidRPr="00F20B31" w:rsidRDefault="00164357" w:rsidP="00164357">
            <w:pPr>
              <w:widowControl/>
              <w:suppressAutoHyphens/>
              <w:rPr>
                <w:sz w:val="18"/>
                <w:szCs w:val="18"/>
              </w:rPr>
            </w:pPr>
            <w:r w:rsidRPr="00F20B31">
              <w:rPr>
                <w:sz w:val="18"/>
                <w:szCs w:val="18"/>
              </w:rPr>
              <w:t>b** class counties are Weber County and Washington County</w:t>
            </w:r>
          </w:p>
        </w:tc>
      </w:tr>
    </w:tbl>
    <w:p w14:paraId="511380E8" w14:textId="77777777" w:rsidR="00164357" w:rsidRDefault="00164357" w:rsidP="00164357">
      <w:pPr>
        <w:widowControl/>
        <w:suppressAutoHyphens/>
        <w:rPr>
          <w:sz w:val="18"/>
          <w:szCs w:val="18"/>
        </w:rPr>
      </w:pPr>
    </w:p>
    <w:p w14:paraId="65B632DF" w14:textId="77777777" w:rsidR="00A0075A" w:rsidRPr="00F20B31" w:rsidRDefault="00A0075A" w:rsidP="00164357">
      <w:pPr>
        <w:widowControl/>
        <w:suppressAutoHyphens/>
        <w:rPr>
          <w:sz w:val="18"/>
          <w:szCs w:val="18"/>
        </w:rPr>
      </w:pPr>
    </w:p>
    <w:tbl>
      <w:tblPr>
        <w:tblStyle w:val="TableGrid"/>
        <w:tblW w:w="0" w:type="auto"/>
        <w:tblLook w:val="04A0" w:firstRow="1" w:lastRow="0" w:firstColumn="1" w:lastColumn="0" w:noHBand="0" w:noVBand="1"/>
      </w:tblPr>
      <w:tblGrid>
        <w:gridCol w:w="2451"/>
        <w:gridCol w:w="3776"/>
        <w:gridCol w:w="3123"/>
      </w:tblGrid>
      <w:tr w:rsidR="00164357" w:rsidRPr="00F20B31" w14:paraId="337E2EB7" w14:textId="77777777" w:rsidTr="00B73734">
        <w:tc>
          <w:tcPr>
            <w:tcW w:w="9985" w:type="dxa"/>
            <w:gridSpan w:val="3"/>
          </w:tcPr>
          <w:p w14:paraId="744521F0" w14:textId="77777777" w:rsidR="00164357" w:rsidRPr="00F20B31" w:rsidRDefault="00164357" w:rsidP="00164357">
            <w:pPr>
              <w:widowControl/>
              <w:suppressAutoHyphens/>
              <w:jc w:val="center"/>
              <w:rPr>
                <w:sz w:val="18"/>
                <w:szCs w:val="18"/>
              </w:rPr>
            </w:pPr>
            <w:r w:rsidRPr="00F20B31">
              <w:rPr>
                <w:sz w:val="18"/>
                <w:szCs w:val="18"/>
              </w:rPr>
              <w:t>TABLE 2</w:t>
            </w:r>
          </w:p>
          <w:p w14:paraId="1B33F657" w14:textId="77777777" w:rsidR="00164357" w:rsidRPr="00F20B31" w:rsidRDefault="00164357" w:rsidP="00164357">
            <w:pPr>
              <w:widowControl/>
              <w:suppressAutoHyphens/>
              <w:jc w:val="center"/>
              <w:rPr>
                <w:sz w:val="18"/>
                <w:szCs w:val="18"/>
              </w:rPr>
            </w:pPr>
            <w:r w:rsidRPr="00F20B31">
              <w:rPr>
                <w:sz w:val="18"/>
                <w:szCs w:val="18"/>
              </w:rPr>
              <w:t>Risk Corridor Coverage</w:t>
            </w:r>
          </w:p>
        </w:tc>
      </w:tr>
      <w:tr w:rsidR="00164357" w:rsidRPr="00F20B31" w14:paraId="14EA4886" w14:textId="77777777" w:rsidTr="00B73734">
        <w:tc>
          <w:tcPr>
            <w:tcW w:w="2605" w:type="dxa"/>
          </w:tcPr>
          <w:p w14:paraId="0AD2E46C" w14:textId="77777777" w:rsidR="00164357" w:rsidRPr="00F20B31" w:rsidRDefault="00164357" w:rsidP="00164357">
            <w:pPr>
              <w:widowControl/>
              <w:suppressAutoHyphens/>
              <w:rPr>
                <w:sz w:val="18"/>
                <w:szCs w:val="18"/>
              </w:rPr>
            </w:pPr>
            <w:r w:rsidRPr="00F20B31">
              <w:rPr>
                <w:sz w:val="18"/>
                <w:szCs w:val="18"/>
              </w:rPr>
              <w:t>Year of Program Operation</w:t>
            </w:r>
          </w:p>
        </w:tc>
        <w:tc>
          <w:tcPr>
            <w:tcW w:w="4050" w:type="dxa"/>
          </w:tcPr>
          <w:p w14:paraId="5791B0B7" w14:textId="77777777" w:rsidR="00164357" w:rsidRPr="00F20B31" w:rsidRDefault="00164357" w:rsidP="00164357">
            <w:pPr>
              <w:widowControl/>
              <w:suppressAutoHyphens/>
              <w:rPr>
                <w:sz w:val="18"/>
                <w:szCs w:val="18"/>
              </w:rPr>
            </w:pPr>
            <w:r w:rsidRPr="00F20B31">
              <w:rPr>
                <w:sz w:val="18"/>
                <w:szCs w:val="18"/>
              </w:rPr>
              <w:t>State Responsible Share of Risk Corridor</w:t>
            </w:r>
          </w:p>
        </w:tc>
        <w:tc>
          <w:tcPr>
            <w:tcW w:w="3330" w:type="dxa"/>
          </w:tcPr>
          <w:p w14:paraId="0B354023" w14:textId="77777777" w:rsidR="00164357" w:rsidRPr="00F20B31" w:rsidRDefault="00164357" w:rsidP="00164357">
            <w:pPr>
              <w:widowControl/>
              <w:suppressAutoHyphens/>
              <w:rPr>
                <w:sz w:val="18"/>
                <w:szCs w:val="18"/>
              </w:rPr>
            </w:pPr>
            <w:r w:rsidRPr="00F20B31">
              <w:rPr>
                <w:sz w:val="18"/>
                <w:szCs w:val="18"/>
              </w:rPr>
              <w:t>County Responsible Share of Risk Corridor</w:t>
            </w:r>
          </w:p>
        </w:tc>
      </w:tr>
      <w:tr w:rsidR="00164357" w:rsidRPr="00F20B31" w14:paraId="1B96939C" w14:textId="77777777" w:rsidTr="00B73734">
        <w:tc>
          <w:tcPr>
            <w:tcW w:w="2605" w:type="dxa"/>
          </w:tcPr>
          <w:p w14:paraId="7AECECEE" w14:textId="77777777" w:rsidR="00164357" w:rsidRPr="00F20B31" w:rsidRDefault="00164357" w:rsidP="00164357">
            <w:pPr>
              <w:widowControl/>
              <w:suppressAutoHyphens/>
              <w:rPr>
                <w:sz w:val="18"/>
                <w:szCs w:val="18"/>
              </w:rPr>
            </w:pPr>
            <w:r w:rsidRPr="00F20B31">
              <w:rPr>
                <w:sz w:val="18"/>
                <w:szCs w:val="18"/>
              </w:rPr>
              <w:t>1</w:t>
            </w:r>
          </w:p>
        </w:tc>
        <w:tc>
          <w:tcPr>
            <w:tcW w:w="4050" w:type="dxa"/>
          </w:tcPr>
          <w:p w14:paraId="6E4A65C3" w14:textId="77777777" w:rsidR="00164357" w:rsidRPr="00F20B31" w:rsidRDefault="00164357" w:rsidP="00164357">
            <w:pPr>
              <w:widowControl/>
              <w:suppressAutoHyphens/>
              <w:rPr>
                <w:sz w:val="18"/>
                <w:szCs w:val="18"/>
              </w:rPr>
            </w:pPr>
            <w:r w:rsidRPr="00F20B31">
              <w:rPr>
                <w:sz w:val="18"/>
                <w:szCs w:val="18"/>
              </w:rPr>
              <w:t>75%</w:t>
            </w:r>
          </w:p>
        </w:tc>
        <w:tc>
          <w:tcPr>
            <w:tcW w:w="3330" w:type="dxa"/>
          </w:tcPr>
          <w:p w14:paraId="372EDB0F" w14:textId="77777777" w:rsidR="00164357" w:rsidRPr="00F20B31" w:rsidRDefault="00164357" w:rsidP="00164357">
            <w:pPr>
              <w:widowControl/>
              <w:suppressAutoHyphens/>
              <w:rPr>
                <w:sz w:val="18"/>
                <w:szCs w:val="18"/>
              </w:rPr>
            </w:pPr>
            <w:r w:rsidRPr="00F20B31">
              <w:rPr>
                <w:sz w:val="18"/>
                <w:szCs w:val="18"/>
              </w:rPr>
              <w:t>25%</w:t>
            </w:r>
          </w:p>
        </w:tc>
      </w:tr>
      <w:tr w:rsidR="00164357" w:rsidRPr="00F20B31" w14:paraId="3CE42724" w14:textId="77777777" w:rsidTr="00B73734">
        <w:tc>
          <w:tcPr>
            <w:tcW w:w="2605" w:type="dxa"/>
          </w:tcPr>
          <w:p w14:paraId="7AA9943F" w14:textId="77777777" w:rsidR="00164357" w:rsidRPr="00F20B31" w:rsidRDefault="00164357" w:rsidP="00164357">
            <w:pPr>
              <w:widowControl/>
              <w:suppressAutoHyphens/>
              <w:rPr>
                <w:sz w:val="18"/>
                <w:szCs w:val="18"/>
              </w:rPr>
            </w:pPr>
            <w:r w:rsidRPr="00F20B31">
              <w:rPr>
                <w:sz w:val="18"/>
                <w:szCs w:val="18"/>
              </w:rPr>
              <w:t>2</w:t>
            </w:r>
          </w:p>
        </w:tc>
        <w:tc>
          <w:tcPr>
            <w:tcW w:w="4050" w:type="dxa"/>
          </w:tcPr>
          <w:p w14:paraId="56A92727" w14:textId="77777777" w:rsidR="00164357" w:rsidRPr="00F20B31" w:rsidRDefault="00164357" w:rsidP="00164357">
            <w:pPr>
              <w:widowControl/>
              <w:suppressAutoHyphens/>
              <w:rPr>
                <w:sz w:val="18"/>
                <w:szCs w:val="18"/>
              </w:rPr>
            </w:pPr>
            <w:r w:rsidRPr="00F20B31">
              <w:rPr>
                <w:sz w:val="18"/>
                <w:szCs w:val="18"/>
              </w:rPr>
              <w:t>50 %</w:t>
            </w:r>
          </w:p>
        </w:tc>
        <w:tc>
          <w:tcPr>
            <w:tcW w:w="3330" w:type="dxa"/>
          </w:tcPr>
          <w:p w14:paraId="324FDD28" w14:textId="77777777" w:rsidR="00164357" w:rsidRPr="00F20B31" w:rsidRDefault="00164357" w:rsidP="00164357">
            <w:pPr>
              <w:widowControl/>
              <w:suppressAutoHyphens/>
              <w:rPr>
                <w:sz w:val="18"/>
                <w:szCs w:val="18"/>
              </w:rPr>
            </w:pPr>
            <w:r w:rsidRPr="00F20B31">
              <w:rPr>
                <w:sz w:val="18"/>
                <w:szCs w:val="18"/>
              </w:rPr>
              <w:t>50%</w:t>
            </w:r>
          </w:p>
        </w:tc>
      </w:tr>
      <w:tr w:rsidR="00164357" w:rsidRPr="00F20B31" w14:paraId="61C18DBE" w14:textId="77777777" w:rsidTr="00B73734">
        <w:tc>
          <w:tcPr>
            <w:tcW w:w="2605" w:type="dxa"/>
          </w:tcPr>
          <w:p w14:paraId="17BE613A" w14:textId="77777777" w:rsidR="00164357" w:rsidRPr="00F20B31" w:rsidRDefault="00164357" w:rsidP="00164357">
            <w:pPr>
              <w:widowControl/>
              <w:suppressAutoHyphens/>
              <w:rPr>
                <w:sz w:val="18"/>
                <w:szCs w:val="18"/>
              </w:rPr>
            </w:pPr>
            <w:r w:rsidRPr="00F20B31">
              <w:rPr>
                <w:sz w:val="18"/>
                <w:szCs w:val="18"/>
              </w:rPr>
              <w:t>3</w:t>
            </w:r>
          </w:p>
        </w:tc>
        <w:tc>
          <w:tcPr>
            <w:tcW w:w="4050" w:type="dxa"/>
          </w:tcPr>
          <w:p w14:paraId="7DA4BD0B" w14:textId="77777777" w:rsidR="00164357" w:rsidRPr="00F20B31" w:rsidRDefault="00164357" w:rsidP="00164357">
            <w:pPr>
              <w:widowControl/>
              <w:suppressAutoHyphens/>
              <w:rPr>
                <w:sz w:val="18"/>
                <w:szCs w:val="18"/>
              </w:rPr>
            </w:pPr>
            <w:r w:rsidRPr="00F20B31">
              <w:rPr>
                <w:sz w:val="18"/>
                <w:szCs w:val="18"/>
              </w:rPr>
              <w:t>25%</w:t>
            </w:r>
          </w:p>
        </w:tc>
        <w:tc>
          <w:tcPr>
            <w:tcW w:w="3330" w:type="dxa"/>
          </w:tcPr>
          <w:p w14:paraId="33F53A12" w14:textId="77777777" w:rsidR="00164357" w:rsidRPr="00F20B31" w:rsidRDefault="00164357" w:rsidP="00164357">
            <w:pPr>
              <w:widowControl/>
              <w:suppressAutoHyphens/>
              <w:rPr>
                <w:sz w:val="18"/>
                <w:szCs w:val="18"/>
              </w:rPr>
            </w:pPr>
            <w:r w:rsidRPr="00F20B31">
              <w:rPr>
                <w:sz w:val="18"/>
                <w:szCs w:val="18"/>
              </w:rPr>
              <w:t>75%</w:t>
            </w:r>
          </w:p>
        </w:tc>
      </w:tr>
      <w:tr w:rsidR="00164357" w:rsidRPr="00F20B31" w14:paraId="2B44DF20" w14:textId="77777777" w:rsidTr="00B73734">
        <w:tc>
          <w:tcPr>
            <w:tcW w:w="2605" w:type="dxa"/>
          </w:tcPr>
          <w:p w14:paraId="59679D9F" w14:textId="77777777" w:rsidR="00164357" w:rsidRPr="00F20B31" w:rsidRDefault="00164357" w:rsidP="00164357">
            <w:pPr>
              <w:widowControl/>
              <w:suppressAutoHyphens/>
              <w:rPr>
                <w:sz w:val="18"/>
                <w:szCs w:val="18"/>
              </w:rPr>
            </w:pPr>
            <w:r w:rsidRPr="00F20B31">
              <w:rPr>
                <w:sz w:val="18"/>
                <w:szCs w:val="18"/>
              </w:rPr>
              <w:t>4</w:t>
            </w:r>
          </w:p>
        </w:tc>
        <w:tc>
          <w:tcPr>
            <w:tcW w:w="4050" w:type="dxa"/>
          </w:tcPr>
          <w:p w14:paraId="7716B04E" w14:textId="77777777" w:rsidR="00164357" w:rsidRPr="00F20B31" w:rsidRDefault="00164357" w:rsidP="00164357">
            <w:pPr>
              <w:widowControl/>
              <w:suppressAutoHyphens/>
              <w:rPr>
                <w:sz w:val="18"/>
                <w:szCs w:val="18"/>
              </w:rPr>
            </w:pPr>
            <w:r w:rsidRPr="00F20B31">
              <w:rPr>
                <w:sz w:val="18"/>
                <w:szCs w:val="18"/>
              </w:rPr>
              <w:t>0%</w:t>
            </w:r>
          </w:p>
        </w:tc>
        <w:tc>
          <w:tcPr>
            <w:tcW w:w="3330" w:type="dxa"/>
          </w:tcPr>
          <w:p w14:paraId="3C768E7B" w14:textId="77777777" w:rsidR="00164357" w:rsidRPr="00F20B31" w:rsidRDefault="00164357" w:rsidP="00164357">
            <w:pPr>
              <w:widowControl/>
              <w:suppressAutoHyphens/>
              <w:rPr>
                <w:sz w:val="18"/>
                <w:szCs w:val="18"/>
              </w:rPr>
            </w:pPr>
            <w:r w:rsidRPr="00F20B31">
              <w:rPr>
                <w:sz w:val="18"/>
                <w:szCs w:val="18"/>
              </w:rPr>
              <w:t>100%</w:t>
            </w:r>
          </w:p>
        </w:tc>
      </w:tr>
    </w:tbl>
    <w:p w14:paraId="0C308B52" w14:textId="77777777" w:rsidR="00164357" w:rsidRPr="00F20B31" w:rsidRDefault="00164357" w:rsidP="00164357">
      <w:pPr>
        <w:widowControl/>
        <w:suppressAutoHyphens/>
        <w:rPr>
          <w:bCs/>
          <w:sz w:val="18"/>
          <w:szCs w:val="18"/>
        </w:rPr>
      </w:pPr>
    </w:p>
    <w:p w14:paraId="3D5D8136" w14:textId="77777777" w:rsidR="00164357" w:rsidRPr="00F20B31" w:rsidRDefault="00164357" w:rsidP="00164357">
      <w:pPr>
        <w:widowControl/>
        <w:suppressAutoHyphens/>
        <w:rPr>
          <w:bCs/>
          <w:sz w:val="18"/>
          <w:szCs w:val="18"/>
        </w:rPr>
      </w:pPr>
      <w:r w:rsidRPr="00F20B31">
        <w:rPr>
          <w:b/>
          <w:bCs/>
          <w:sz w:val="18"/>
          <w:szCs w:val="18"/>
        </w:rPr>
        <w:t>KEY:  behavioral health receiving center standards, behavioral health crisis centers, crisis receiving centers, crisis centers</w:t>
      </w:r>
    </w:p>
    <w:p w14:paraId="4732C5D7" w14:textId="170B4B75" w:rsidR="00164357" w:rsidRPr="00F20B31" w:rsidRDefault="00164357" w:rsidP="00164357">
      <w:pPr>
        <w:widowControl/>
        <w:suppressAutoHyphens/>
        <w:rPr>
          <w:bCs/>
          <w:sz w:val="18"/>
          <w:szCs w:val="18"/>
        </w:rPr>
      </w:pPr>
      <w:r w:rsidRPr="00F20B31">
        <w:rPr>
          <w:b/>
          <w:bCs/>
          <w:sz w:val="18"/>
          <w:szCs w:val="18"/>
        </w:rPr>
        <w:t xml:space="preserve">Date of Last Change:  </w:t>
      </w:r>
      <w:r w:rsidR="0048440A" w:rsidRPr="00F20B31">
        <w:rPr>
          <w:b/>
          <w:bCs/>
          <w:sz w:val="18"/>
          <w:szCs w:val="18"/>
        </w:rPr>
        <w:t xml:space="preserve">September 15, </w:t>
      </w:r>
      <w:r w:rsidRPr="00F20B31">
        <w:rPr>
          <w:b/>
          <w:bCs/>
          <w:sz w:val="18"/>
          <w:szCs w:val="18"/>
        </w:rPr>
        <w:t>2025</w:t>
      </w:r>
    </w:p>
    <w:p w14:paraId="01DC9F0D" w14:textId="275A9475" w:rsidR="00164357" w:rsidRPr="00F20B31" w:rsidRDefault="00164357" w:rsidP="00164357">
      <w:pPr>
        <w:widowControl/>
        <w:suppressAutoHyphens/>
        <w:rPr>
          <w:bCs/>
          <w:sz w:val="18"/>
          <w:szCs w:val="18"/>
        </w:rPr>
      </w:pPr>
      <w:r w:rsidRPr="00F20B31">
        <w:rPr>
          <w:b/>
          <w:bCs/>
          <w:sz w:val="18"/>
          <w:szCs w:val="18"/>
        </w:rPr>
        <w:t>Authorizing, and Implemented or Interpreted Law:  26B-5-114(8)</w:t>
      </w:r>
    </w:p>
    <w:p w14:paraId="07CE7651" w14:textId="77777777" w:rsidR="00164357" w:rsidRPr="00F20B31" w:rsidRDefault="00164357" w:rsidP="00164357">
      <w:pPr>
        <w:widowControl/>
        <w:suppressAutoHyphens/>
        <w:rPr>
          <w:bCs/>
          <w:sz w:val="18"/>
          <w:szCs w:val="18"/>
        </w:rPr>
      </w:pPr>
    </w:p>
    <w:p w14:paraId="6AAB0516" w14:textId="062DD5F2" w:rsidR="000B3FD7" w:rsidRPr="00F20B31" w:rsidRDefault="000B3FD7" w:rsidP="00164357">
      <w:pPr>
        <w:widowControl/>
        <w:suppressAutoHyphens/>
        <w:rPr>
          <w:sz w:val="18"/>
        </w:rPr>
      </w:pPr>
    </w:p>
    <w:sectPr w:rsidR="000B3FD7" w:rsidRPr="00F20B31" w:rsidSect="00F20B3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081E8" w14:textId="77777777" w:rsidR="007019D8" w:rsidRDefault="007019D8" w:rsidP="00C17968">
      <w:r>
        <w:separator/>
      </w:r>
    </w:p>
  </w:endnote>
  <w:endnote w:type="continuationSeparator" w:id="0">
    <w:p w14:paraId="65CF3DEA" w14:textId="77777777" w:rsidR="007019D8" w:rsidRDefault="007019D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34724" w14:textId="77777777" w:rsidR="007019D8" w:rsidRDefault="007019D8" w:rsidP="00C17968">
      <w:r>
        <w:separator/>
      </w:r>
    </w:p>
  </w:footnote>
  <w:footnote w:type="continuationSeparator" w:id="0">
    <w:p w14:paraId="3D2E248C" w14:textId="77777777" w:rsidR="007019D8" w:rsidRDefault="007019D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3FD7"/>
    <w:rsid w:val="000B5EF8"/>
    <w:rsid w:val="000C3C78"/>
    <w:rsid w:val="000C753C"/>
    <w:rsid w:val="000D42C5"/>
    <w:rsid w:val="000D47B6"/>
    <w:rsid w:val="000D6E9E"/>
    <w:rsid w:val="000E074A"/>
    <w:rsid w:val="000E6751"/>
    <w:rsid w:val="000E7CDD"/>
    <w:rsid w:val="000F00D1"/>
    <w:rsid w:val="000F2028"/>
    <w:rsid w:val="00101FCF"/>
    <w:rsid w:val="0010261E"/>
    <w:rsid w:val="00102786"/>
    <w:rsid w:val="00102BB0"/>
    <w:rsid w:val="001138B7"/>
    <w:rsid w:val="00113BB3"/>
    <w:rsid w:val="00123B89"/>
    <w:rsid w:val="001304E9"/>
    <w:rsid w:val="00133F0A"/>
    <w:rsid w:val="00135EC6"/>
    <w:rsid w:val="00136501"/>
    <w:rsid w:val="00136C69"/>
    <w:rsid w:val="00136E6B"/>
    <w:rsid w:val="00140B4F"/>
    <w:rsid w:val="00140F86"/>
    <w:rsid w:val="001447C5"/>
    <w:rsid w:val="001447E4"/>
    <w:rsid w:val="00151B36"/>
    <w:rsid w:val="00164357"/>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1390"/>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8440A"/>
    <w:rsid w:val="004A031A"/>
    <w:rsid w:val="004B7F3B"/>
    <w:rsid w:val="004C20EA"/>
    <w:rsid w:val="004C4015"/>
    <w:rsid w:val="004C74B6"/>
    <w:rsid w:val="004D328F"/>
    <w:rsid w:val="004D6568"/>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71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6433"/>
    <w:rsid w:val="00646E1C"/>
    <w:rsid w:val="006604BD"/>
    <w:rsid w:val="006661C3"/>
    <w:rsid w:val="006667C3"/>
    <w:rsid w:val="0066691C"/>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19D8"/>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976"/>
    <w:rsid w:val="007A1FEA"/>
    <w:rsid w:val="007A4D6B"/>
    <w:rsid w:val="007A6137"/>
    <w:rsid w:val="007B14E0"/>
    <w:rsid w:val="007B6C82"/>
    <w:rsid w:val="007C66C3"/>
    <w:rsid w:val="007D0B87"/>
    <w:rsid w:val="007D1F9D"/>
    <w:rsid w:val="007D47E7"/>
    <w:rsid w:val="008077EE"/>
    <w:rsid w:val="00807BB1"/>
    <w:rsid w:val="008315F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D6C4B"/>
    <w:rsid w:val="008E7D98"/>
    <w:rsid w:val="008E7D9B"/>
    <w:rsid w:val="008F5560"/>
    <w:rsid w:val="00915E14"/>
    <w:rsid w:val="009174AF"/>
    <w:rsid w:val="00921FDE"/>
    <w:rsid w:val="009226D8"/>
    <w:rsid w:val="00922D61"/>
    <w:rsid w:val="009279FD"/>
    <w:rsid w:val="009510CD"/>
    <w:rsid w:val="00955DB6"/>
    <w:rsid w:val="00964E49"/>
    <w:rsid w:val="00964F8C"/>
    <w:rsid w:val="00986B62"/>
    <w:rsid w:val="009924F5"/>
    <w:rsid w:val="0099724C"/>
    <w:rsid w:val="009A2A78"/>
    <w:rsid w:val="009A4D73"/>
    <w:rsid w:val="009B5790"/>
    <w:rsid w:val="009C0017"/>
    <w:rsid w:val="009C2A6A"/>
    <w:rsid w:val="009D2B3D"/>
    <w:rsid w:val="009D34B6"/>
    <w:rsid w:val="009E5ABD"/>
    <w:rsid w:val="009E6D0B"/>
    <w:rsid w:val="009E75B1"/>
    <w:rsid w:val="009F0DEE"/>
    <w:rsid w:val="00A0075A"/>
    <w:rsid w:val="00A0145C"/>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90B4E"/>
    <w:rsid w:val="00B974B0"/>
    <w:rsid w:val="00BC5E52"/>
    <w:rsid w:val="00BD38D5"/>
    <w:rsid w:val="00BE6E0F"/>
    <w:rsid w:val="00BF1E48"/>
    <w:rsid w:val="00BF365E"/>
    <w:rsid w:val="00BF7F8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658A6"/>
    <w:rsid w:val="00C7075A"/>
    <w:rsid w:val="00C71AAC"/>
    <w:rsid w:val="00C864C3"/>
    <w:rsid w:val="00C86BC9"/>
    <w:rsid w:val="00CA2A17"/>
    <w:rsid w:val="00CA4226"/>
    <w:rsid w:val="00CA4306"/>
    <w:rsid w:val="00CA642C"/>
    <w:rsid w:val="00CB214B"/>
    <w:rsid w:val="00CC0414"/>
    <w:rsid w:val="00CC1DE2"/>
    <w:rsid w:val="00CC2F8D"/>
    <w:rsid w:val="00CD7FD5"/>
    <w:rsid w:val="00CE4429"/>
    <w:rsid w:val="00CE4EB2"/>
    <w:rsid w:val="00CF0B98"/>
    <w:rsid w:val="00CF1711"/>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43C7"/>
    <w:rsid w:val="00D96075"/>
    <w:rsid w:val="00D97919"/>
    <w:rsid w:val="00DA6D1D"/>
    <w:rsid w:val="00DA783E"/>
    <w:rsid w:val="00DB3AE0"/>
    <w:rsid w:val="00DC0B97"/>
    <w:rsid w:val="00DC1529"/>
    <w:rsid w:val="00DC51B5"/>
    <w:rsid w:val="00DE4AAB"/>
    <w:rsid w:val="00E06657"/>
    <w:rsid w:val="00E12901"/>
    <w:rsid w:val="00E20F5B"/>
    <w:rsid w:val="00E2296E"/>
    <w:rsid w:val="00E23A0A"/>
    <w:rsid w:val="00E33057"/>
    <w:rsid w:val="00E33275"/>
    <w:rsid w:val="00E373E2"/>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C7CB5"/>
    <w:rsid w:val="00ED6764"/>
    <w:rsid w:val="00EE2657"/>
    <w:rsid w:val="00EE6D3C"/>
    <w:rsid w:val="00EF40BC"/>
    <w:rsid w:val="00F04D62"/>
    <w:rsid w:val="00F05966"/>
    <w:rsid w:val="00F0658D"/>
    <w:rsid w:val="00F1268F"/>
    <w:rsid w:val="00F136AB"/>
    <w:rsid w:val="00F20B31"/>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table" w:styleId="TableGrid">
    <w:name w:val="Table Grid"/>
    <w:basedOn w:val="TableNormal"/>
    <w:uiPriority w:val="39"/>
    <w:rsid w:val="007B14E0"/>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1083</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2025-09-17T16:54:00Z</dcterms:created>
  <dcterms:modified xsi:type="dcterms:W3CDTF">2025-09-17T16:54:00Z</dcterms:modified>
</cp:coreProperties>
</file>