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073CC" w14:textId="23882D12" w:rsidR="009A0F30" w:rsidRPr="00B333A7" w:rsidRDefault="009A0F30" w:rsidP="00BB3353">
      <w:r w:rsidRPr="00B333A7">
        <w:rPr>
          <w:b/>
          <w:bCs/>
        </w:rPr>
        <w:t>R315.  Environmental Quality, Waste Management and Radiation Control, Waste Management.</w:t>
      </w:r>
    </w:p>
    <w:p w14:paraId="62F70BFC" w14:textId="42CEA936" w:rsidR="009A0F30" w:rsidRPr="00B333A7" w:rsidRDefault="009A0F30" w:rsidP="00BB3353">
      <w:r w:rsidRPr="00B333A7">
        <w:rPr>
          <w:b/>
          <w:bCs/>
        </w:rPr>
        <w:t>R315</w:t>
      </w:r>
      <w:r w:rsidR="00BB3353" w:rsidRPr="00B333A7">
        <w:rPr>
          <w:b/>
          <w:bCs/>
        </w:rPr>
        <w:t>-</w:t>
      </w:r>
      <w:r w:rsidRPr="00B333A7">
        <w:rPr>
          <w:b/>
          <w:bCs/>
        </w:rPr>
        <w:t>318.  Permit by Rule.</w:t>
      </w:r>
    </w:p>
    <w:p w14:paraId="7CBF548F" w14:textId="77777777" w:rsidR="00902184" w:rsidRPr="00B333A7" w:rsidRDefault="00902184" w:rsidP="00902184">
      <w:pPr>
        <w:rPr>
          <w:rFonts w:eastAsia="Times New Roman"/>
        </w:rPr>
      </w:pPr>
      <w:r w:rsidRPr="00B333A7">
        <w:rPr>
          <w:rFonts w:eastAsia="Times New Roman"/>
          <w:b/>
          <w:bCs/>
        </w:rPr>
        <w:t>R315-318-1.  General Requirements.</w:t>
      </w:r>
    </w:p>
    <w:p w14:paraId="531BF812" w14:textId="58403807" w:rsidR="00902184" w:rsidRPr="00B333A7" w:rsidRDefault="00902184" w:rsidP="00902184">
      <w:pPr>
        <w:rPr>
          <w:rFonts w:eastAsia="Times New Roman"/>
        </w:rPr>
      </w:pPr>
      <w:r w:rsidRPr="00B333A7">
        <w:rPr>
          <w:rFonts w:eastAsia="Times New Roman"/>
        </w:rPr>
        <w:tab/>
        <w:t>(1)  Any facility that disposes of solid waste, including an incinerator, may be permitted by rule upon application to the director if the director determines the facility is regulated by federal or state agencies that have regulations or rules as stringent as, or more stringent than, Rules R315-301 through R315-322.</w:t>
      </w:r>
    </w:p>
    <w:p w14:paraId="7308A9C5" w14:textId="32B23C6F" w:rsidR="00902184" w:rsidRPr="00B333A7" w:rsidRDefault="00902184" w:rsidP="00902184">
      <w:pPr>
        <w:rPr>
          <w:rFonts w:eastAsia="Times New Roman"/>
        </w:rPr>
      </w:pPr>
      <w:r w:rsidRPr="00B333A7">
        <w:rPr>
          <w:rFonts w:eastAsia="Times New Roman"/>
        </w:rPr>
        <w:tab/>
        <w:t>(2)  No permit by rule may be granted to a facility that began receiving waste after July 15, 1993 without application to the director.</w:t>
      </w:r>
    </w:p>
    <w:p w14:paraId="2E65E59A" w14:textId="416ADE51" w:rsidR="00902184" w:rsidRPr="00B333A7" w:rsidRDefault="00902184" w:rsidP="00902184">
      <w:pPr>
        <w:rPr>
          <w:rFonts w:eastAsia="Times New Roman"/>
        </w:rPr>
      </w:pPr>
      <w:r w:rsidRPr="00B333A7">
        <w:rPr>
          <w:rFonts w:eastAsia="Times New Roman"/>
        </w:rPr>
        <w:tab/>
        <w:t>(3)  Any facility permitted by rule is not required to get a permit as required by Subsections R315-301-5(1) and R315-310-1(1) but may be required to follow operational practices, as determined by the director, to minimize risk to human health or the environment.</w:t>
      </w:r>
    </w:p>
    <w:p w14:paraId="16260251" w14:textId="0EB22BEE" w:rsidR="00902184" w:rsidRPr="00B333A7" w:rsidRDefault="00902184" w:rsidP="00902184">
      <w:pPr>
        <w:rPr>
          <w:rFonts w:eastAsia="Times New Roman"/>
        </w:rPr>
      </w:pPr>
      <w:r w:rsidRPr="00B333A7">
        <w:rPr>
          <w:rFonts w:eastAsia="Times New Roman"/>
        </w:rPr>
        <w:tab/>
        <w:t>(4)  In no case may a facility operating under a permit by rule approved by the director conduct disposal operations that are in violation of the Utah Solid and Hazardous Waste Act or Rules R315-301 through R315-322.</w:t>
      </w:r>
    </w:p>
    <w:p w14:paraId="4B3387D6" w14:textId="77777777" w:rsidR="00902184" w:rsidRPr="00B333A7" w:rsidRDefault="00902184" w:rsidP="00902184">
      <w:pPr>
        <w:rPr>
          <w:rFonts w:eastAsia="Times New Roman"/>
        </w:rPr>
      </w:pPr>
    </w:p>
    <w:p w14:paraId="2D991854" w14:textId="59962FC8" w:rsidR="009A0F30" w:rsidRPr="00B333A7" w:rsidRDefault="009A0F30" w:rsidP="00BB3353">
      <w:r w:rsidRPr="00B333A7">
        <w:rPr>
          <w:b/>
          <w:bCs/>
        </w:rPr>
        <w:t>R315</w:t>
      </w:r>
      <w:r w:rsidR="00BB3353" w:rsidRPr="00B333A7">
        <w:rPr>
          <w:b/>
          <w:bCs/>
        </w:rPr>
        <w:t>-</w:t>
      </w:r>
      <w:r w:rsidRPr="00B333A7">
        <w:rPr>
          <w:b/>
          <w:bCs/>
        </w:rPr>
        <w:t>318</w:t>
      </w:r>
      <w:r w:rsidR="00BB3353" w:rsidRPr="00B333A7">
        <w:rPr>
          <w:b/>
          <w:bCs/>
        </w:rPr>
        <w:t>-</w:t>
      </w:r>
      <w:r w:rsidRPr="00B333A7">
        <w:rPr>
          <w:b/>
          <w:bCs/>
        </w:rPr>
        <w:t>2.  Facilities Permitted by Rule.</w:t>
      </w:r>
    </w:p>
    <w:p w14:paraId="65471060" w14:textId="77777777" w:rsidR="009A0F30" w:rsidRPr="00B333A7" w:rsidRDefault="009A0F30" w:rsidP="00BB3353">
      <w:r w:rsidRPr="00B333A7">
        <w:tab/>
        <w:t>(1)  The following facilities that began receiving waste prior to July 15, 1993 are permitted by rule:</w:t>
      </w:r>
    </w:p>
    <w:p w14:paraId="724C261D" w14:textId="77777777" w:rsidR="009A0F30" w:rsidRPr="00B333A7" w:rsidRDefault="009A0F30" w:rsidP="00BB3353">
      <w:r w:rsidRPr="00B333A7">
        <w:tab/>
        <w:t>(a)  solid waste disposal and incineration facilities which are required to operate under the conditions of a state or Federal hazardous waste permit or plan approval;</w:t>
      </w:r>
    </w:p>
    <w:p w14:paraId="6E5F0E4F" w14:textId="77777777" w:rsidR="009A0F30" w:rsidRPr="00B333A7" w:rsidRDefault="009A0F30" w:rsidP="00BB3353">
      <w:r w:rsidRPr="00B333A7">
        <w:tab/>
        <w:t>(b)  disposal operations or activities which are required to operate under the conditions of a Utah Division of Oil, Gas, and Mining permit or plan approval;</w:t>
      </w:r>
    </w:p>
    <w:p w14:paraId="4FB4DC91" w14:textId="1E949E02" w:rsidR="009A0F30" w:rsidRPr="00B333A7" w:rsidRDefault="009A0F30" w:rsidP="00BB3353">
      <w:r w:rsidRPr="00B333A7">
        <w:tab/>
        <w:t>(c)  non</w:t>
      </w:r>
      <w:r w:rsidR="00BB3353" w:rsidRPr="00B333A7">
        <w:t>-</w:t>
      </w:r>
      <w:r w:rsidRPr="00B333A7">
        <w:t>commercial underground injection facilities regulated by the Utah Division of Water Quality; and</w:t>
      </w:r>
    </w:p>
    <w:p w14:paraId="687E87DB" w14:textId="77777777" w:rsidR="009A0F30" w:rsidRPr="00B333A7" w:rsidRDefault="009A0F30" w:rsidP="00BB3353">
      <w:r w:rsidRPr="00B333A7">
        <w:tab/>
        <w:t>(d)  disposal operations or activities which accept only radioactive waste and are required to operate under the conditions of a Division permit or plan approval.</w:t>
      </w:r>
    </w:p>
    <w:p w14:paraId="592ECCF3" w14:textId="522E16B2" w:rsidR="009A0F30" w:rsidRPr="00B333A7" w:rsidRDefault="009A0F30" w:rsidP="00BB3353">
      <w:r w:rsidRPr="00B333A7">
        <w:tab/>
        <w:t>(2)  An underground storage tank, as defined by 40 CFR 280.12 and Subsection R311</w:t>
      </w:r>
      <w:r w:rsidR="00BB3353" w:rsidRPr="00B333A7">
        <w:t>-</w:t>
      </w:r>
      <w:r w:rsidRPr="00B333A7">
        <w:t>200</w:t>
      </w:r>
      <w:r w:rsidR="00BB3353" w:rsidRPr="00B333A7">
        <w:t>-</w:t>
      </w:r>
      <w:r w:rsidRPr="00B333A7">
        <w:t>1(43), that by meeting the requirements specified in 40 CFR 280.71(b) and Section R311</w:t>
      </w:r>
      <w:r w:rsidR="00BB3353" w:rsidRPr="00B333A7">
        <w:t>-</w:t>
      </w:r>
      <w:r w:rsidRPr="00B333A7">
        <w:t>204</w:t>
      </w:r>
      <w:r w:rsidR="00BB3353" w:rsidRPr="00B333A7">
        <w:t>-</w:t>
      </w:r>
      <w:r w:rsidRPr="00B333A7">
        <w:t>3, is closed in place, may be permitted by rule after meeting the following conditions:</w:t>
      </w:r>
    </w:p>
    <w:p w14:paraId="737971CC" w14:textId="77777777" w:rsidR="009A0F30" w:rsidRPr="00B333A7" w:rsidRDefault="009A0F30" w:rsidP="00BB3353">
      <w:r w:rsidRPr="00B333A7">
        <w:tab/>
        <w:t>(a)  the owner of the underground storage tank shall notify the Director of the in place closure; and</w:t>
      </w:r>
    </w:p>
    <w:p w14:paraId="150F920D" w14:textId="4F8C2D9F" w:rsidR="009A0F30" w:rsidRPr="00B333A7" w:rsidRDefault="009A0F30" w:rsidP="00BB3353">
      <w:r w:rsidRPr="00B333A7">
        <w:tab/>
        <w:t>(b)  the owner of the underground storage tank shall provide documentation to the Director that the requirements of Subsection R315</w:t>
      </w:r>
      <w:r w:rsidR="00BB3353" w:rsidRPr="00B333A7">
        <w:t>-</w:t>
      </w:r>
      <w:r w:rsidRPr="00B333A7">
        <w:t>302</w:t>
      </w:r>
      <w:r w:rsidR="00BB3353" w:rsidRPr="00B333A7">
        <w:t>-</w:t>
      </w:r>
      <w:r w:rsidRPr="00B333A7">
        <w:t>2(6) have been met.</w:t>
      </w:r>
    </w:p>
    <w:p w14:paraId="1162C8C7" w14:textId="77777777" w:rsidR="009A0F30" w:rsidRPr="00B333A7" w:rsidRDefault="009A0F30" w:rsidP="00BB3353"/>
    <w:p w14:paraId="2BC1D4BB" w14:textId="77777777" w:rsidR="00902184" w:rsidRPr="00B333A7" w:rsidRDefault="00902184" w:rsidP="00902184">
      <w:pPr>
        <w:rPr>
          <w:rFonts w:eastAsia="Times New Roman"/>
        </w:rPr>
      </w:pPr>
      <w:r w:rsidRPr="00B333A7">
        <w:rPr>
          <w:rFonts w:eastAsia="Times New Roman"/>
          <w:b/>
          <w:bCs/>
        </w:rPr>
        <w:t>KEY:  solid waste management, waste disposal</w:t>
      </w:r>
    </w:p>
    <w:p w14:paraId="460ADBAE" w14:textId="644BF5E4" w:rsidR="00902184" w:rsidRPr="00B333A7" w:rsidRDefault="00902184" w:rsidP="00902184">
      <w:pPr>
        <w:rPr>
          <w:rFonts w:eastAsia="Times New Roman"/>
        </w:rPr>
      </w:pPr>
      <w:r w:rsidRPr="00B333A7">
        <w:rPr>
          <w:rFonts w:eastAsia="Times New Roman"/>
          <w:b/>
          <w:bCs/>
        </w:rPr>
        <w:t>Date of Last Change:  October 15, 2024</w:t>
      </w:r>
    </w:p>
    <w:p w14:paraId="299A8292" w14:textId="77777777" w:rsidR="00902184" w:rsidRPr="00B333A7" w:rsidRDefault="00902184" w:rsidP="00902184">
      <w:pPr>
        <w:rPr>
          <w:rFonts w:eastAsia="Times New Roman"/>
        </w:rPr>
      </w:pPr>
      <w:r w:rsidRPr="00B333A7">
        <w:rPr>
          <w:rFonts w:eastAsia="Times New Roman"/>
          <w:b/>
          <w:bCs/>
        </w:rPr>
        <w:t>Notice of Continuation:  November 30, 2022</w:t>
      </w:r>
    </w:p>
    <w:p w14:paraId="278FE525" w14:textId="77777777" w:rsidR="00902184" w:rsidRPr="00B333A7" w:rsidRDefault="00902184" w:rsidP="00902184">
      <w:pPr>
        <w:rPr>
          <w:rFonts w:eastAsia="Times New Roman"/>
          <w:szCs w:val="18"/>
        </w:rPr>
      </w:pPr>
      <w:r w:rsidRPr="00B333A7">
        <w:rPr>
          <w:rFonts w:eastAsia="Times New Roman"/>
          <w:b/>
          <w:bCs/>
        </w:rPr>
        <w:t>Authorizing, and Implemented or Interpreted Law:  19-6-104; 19-6-105; 19-6-108</w:t>
      </w:r>
    </w:p>
    <w:p w14:paraId="56568891" w14:textId="77777777" w:rsidR="00902184" w:rsidRPr="00B333A7" w:rsidRDefault="00902184" w:rsidP="00902184">
      <w:pPr>
        <w:rPr>
          <w:rFonts w:eastAsia="Times New Roman"/>
        </w:rPr>
      </w:pPr>
    </w:p>
    <w:p w14:paraId="6EB4E009" w14:textId="6D0AF531" w:rsidR="009A0F30" w:rsidRPr="00B333A7" w:rsidRDefault="009A0F30" w:rsidP="00902184">
      <w:pPr>
        <w:rPr>
          <w:rFonts w:eastAsia="Times New Roman"/>
        </w:rPr>
      </w:pPr>
    </w:p>
    <w:sectPr w:rsidR="009A0F30" w:rsidRPr="00B333A7" w:rsidSect="00B333A7">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38C39" w14:textId="77777777" w:rsidR="00B3454C" w:rsidRDefault="00B3454C">
      <w:pPr>
        <w:spacing w:line="20" w:lineRule="exact"/>
      </w:pPr>
    </w:p>
  </w:endnote>
  <w:endnote w:type="continuationSeparator" w:id="0">
    <w:p w14:paraId="685DCA42" w14:textId="77777777" w:rsidR="00B3454C" w:rsidRDefault="00B3454C" w:rsidP="009A0F30">
      <w:r>
        <w:t xml:space="preserve"> </w:t>
      </w:r>
    </w:p>
  </w:endnote>
  <w:endnote w:type="continuationNotice" w:id="1">
    <w:p w14:paraId="3B41FB12" w14:textId="77777777" w:rsidR="00B3454C" w:rsidRDefault="00B3454C" w:rsidP="009A0F3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81702" w14:textId="77777777" w:rsidR="00B3454C" w:rsidRDefault="00B3454C" w:rsidP="009A0F30">
      <w:r>
        <w:separator/>
      </w:r>
    </w:p>
  </w:footnote>
  <w:footnote w:type="continuationSeparator" w:id="0">
    <w:p w14:paraId="5E7AD30C" w14:textId="77777777" w:rsidR="00B3454C" w:rsidRDefault="00B3454C" w:rsidP="009A0F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2003506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F30"/>
    <w:rsid w:val="00124B08"/>
    <w:rsid w:val="001E4BA8"/>
    <w:rsid w:val="006A31B2"/>
    <w:rsid w:val="00794FA6"/>
    <w:rsid w:val="00902184"/>
    <w:rsid w:val="00911C0A"/>
    <w:rsid w:val="009518C5"/>
    <w:rsid w:val="009A0F30"/>
    <w:rsid w:val="00A61DF1"/>
    <w:rsid w:val="00B333A7"/>
    <w:rsid w:val="00B3454C"/>
    <w:rsid w:val="00BB3353"/>
    <w:rsid w:val="00FB0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2BCAB6"/>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9A0F30"/>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9A0F30"/>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2189</Characters>
  <Application>Microsoft Office Word</Application>
  <DocSecurity>0</DocSecurity>
  <Lines>18</Lines>
  <Paragraphs>5</Paragraphs>
  <ScaleCrop>false</ScaleCrop>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2024-10-15T17:23:00Z</dcterms:created>
  <dcterms:modified xsi:type="dcterms:W3CDTF">2024-10-15T17:23:00Z</dcterms:modified>
</cp:coreProperties>
</file>