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476C6" w14:textId="77777777" w:rsidR="00F97991" w:rsidRPr="006427E8" w:rsidRDefault="00F97991" w:rsidP="00F97991">
      <w:pPr>
        <w:widowControl/>
        <w:suppressAutoHyphens/>
        <w:contextualSpacing/>
        <w:rPr>
          <w:sz w:val="18"/>
          <w:szCs w:val="18"/>
        </w:rPr>
      </w:pPr>
      <w:r w:rsidRPr="006427E8">
        <w:rPr>
          <w:b/>
          <w:sz w:val="18"/>
          <w:szCs w:val="18"/>
        </w:rPr>
        <w:t>R33.  Government Operations, Purchasing and General Services.</w:t>
      </w:r>
    </w:p>
    <w:p w14:paraId="1D6D36D0" w14:textId="77777777" w:rsidR="00F97991" w:rsidRPr="006427E8" w:rsidRDefault="00F97991" w:rsidP="00F97991">
      <w:pPr>
        <w:widowControl/>
        <w:suppressAutoHyphens/>
        <w:contextualSpacing/>
        <w:rPr>
          <w:sz w:val="18"/>
          <w:szCs w:val="18"/>
        </w:rPr>
      </w:pPr>
      <w:r w:rsidRPr="006427E8">
        <w:rPr>
          <w:b/>
          <w:sz w:val="18"/>
          <w:szCs w:val="18"/>
        </w:rPr>
        <w:t>R33-106.  Bidding.</w:t>
      </w:r>
    </w:p>
    <w:p w14:paraId="01DC9BD7" w14:textId="77777777" w:rsidR="00F97991" w:rsidRPr="006427E8" w:rsidRDefault="00F97991" w:rsidP="00F97991">
      <w:pPr>
        <w:widowControl/>
        <w:suppressAutoHyphens/>
        <w:contextualSpacing/>
        <w:rPr>
          <w:sz w:val="18"/>
          <w:szCs w:val="18"/>
        </w:rPr>
      </w:pPr>
      <w:r w:rsidRPr="006427E8">
        <w:rPr>
          <w:b/>
          <w:sz w:val="18"/>
          <w:szCs w:val="18"/>
        </w:rPr>
        <w:t>R33-106-101.  Competitive Sealed Bidding; Multiple Stage Bidding.</w:t>
      </w:r>
    </w:p>
    <w:p w14:paraId="075330A8" w14:textId="77777777" w:rsidR="00F97991" w:rsidRPr="006427E8" w:rsidRDefault="00F97991" w:rsidP="00F97991">
      <w:pPr>
        <w:widowControl/>
        <w:suppressAutoHyphens/>
        <w:contextualSpacing/>
        <w:rPr>
          <w:sz w:val="18"/>
          <w:szCs w:val="18"/>
        </w:rPr>
      </w:pPr>
      <w:r w:rsidRPr="006427E8">
        <w:rPr>
          <w:sz w:val="18"/>
          <w:szCs w:val="18"/>
        </w:rPr>
        <w:tab/>
        <w:t xml:space="preserve">Competitive sealed bidding shall be conducted in accordance with the requirements in Title 63G, Chapter 6a, Part 6, Bidding.  This rule provides additional requirements and procedures and must be used in conjunction with the Title 63G, Chapter 6a, Utah Procurement Code. Definitions in the Utah Procurement shall apply to this rule. </w:t>
      </w:r>
    </w:p>
    <w:p w14:paraId="1D7E58F1" w14:textId="77777777" w:rsidR="00F97991" w:rsidRPr="006427E8" w:rsidRDefault="00F97991" w:rsidP="00F97991">
      <w:pPr>
        <w:widowControl/>
        <w:suppressAutoHyphens/>
        <w:contextualSpacing/>
        <w:rPr>
          <w:sz w:val="18"/>
          <w:szCs w:val="18"/>
        </w:rPr>
      </w:pPr>
    </w:p>
    <w:p w14:paraId="1326D559" w14:textId="77777777" w:rsidR="00F97991" w:rsidRPr="006427E8" w:rsidRDefault="00F97991" w:rsidP="00F97991">
      <w:pPr>
        <w:widowControl/>
        <w:suppressAutoHyphens/>
        <w:contextualSpacing/>
        <w:rPr>
          <w:sz w:val="18"/>
          <w:szCs w:val="18"/>
        </w:rPr>
      </w:pPr>
      <w:r w:rsidRPr="006427E8">
        <w:rPr>
          <w:b/>
          <w:sz w:val="18"/>
          <w:szCs w:val="18"/>
        </w:rPr>
        <w:t>R33-106-108.  Re-solicitation of a Bid.</w:t>
      </w:r>
    </w:p>
    <w:p w14:paraId="53D361F7" w14:textId="77777777" w:rsidR="00F97991" w:rsidRPr="006427E8" w:rsidRDefault="00F97991" w:rsidP="00F97991">
      <w:pPr>
        <w:widowControl/>
        <w:suppressAutoHyphens/>
        <w:contextualSpacing/>
        <w:rPr>
          <w:sz w:val="18"/>
          <w:szCs w:val="18"/>
        </w:rPr>
      </w:pPr>
      <w:r w:rsidRPr="006427E8">
        <w:rPr>
          <w:sz w:val="18"/>
          <w:szCs w:val="18"/>
        </w:rPr>
        <w:tab/>
        <w:t>(1)  Re-solicitation of a bid may occur only if the procurement official determines that:</w:t>
      </w:r>
    </w:p>
    <w:p w14:paraId="6F622821" w14:textId="77777777" w:rsidR="00F97991" w:rsidRPr="006427E8" w:rsidRDefault="00F97991" w:rsidP="00F97991">
      <w:pPr>
        <w:widowControl/>
        <w:suppressAutoHyphens/>
        <w:contextualSpacing/>
        <w:rPr>
          <w:sz w:val="18"/>
          <w:szCs w:val="18"/>
        </w:rPr>
      </w:pPr>
      <w:r w:rsidRPr="006427E8">
        <w:rPr>
          <w:sz w:val="18"/>
          <w:szCs w:val="18"/>
        </w:rPr>
        <w:tab/>
        <w:t>(a)  a material change in the scope of work or specifications has occurred;</w:t>
      </w:r>
    </w:p>
    <w:p w14:paraId="23AA6D4E" w14:textId="77777777" w:rsidR="00F97991" w:rsidRPr="006427E8" w:rsidRDefault="00F97991" w:rsidP="00F97991">
      <w:pPr>
        <w:widowControl/>
        <w:suppressAutoHyphens/>
        <w:contextualSpacing/>
        <w:rPr>
          <w:sz w:val="18"/>
          <w:szCs w:val="18"/>
        </w:rPr>
      </w:pPr>
      <w:r w:rsidRPr="006427E8">
        <w:rPr>
          <w:sz w:val="18"/>
          <w:szCs w:val="18"/>
        </w:rPr>
        <w:tab/>
        <w:t>(b)  procedures outlined in Title 63G, Chapter 6a, Utah Procurement Code were not followed;</w:t>
      </w:r>
    </w:p>
    <w:p w14:paraId="5C3011CA" w14:textId="77777777" w:rsidR="00F97991" w:rsidRPr="006427E8" w:rsidRDefault="00F97991" w:rsidP="00F97991">
      <w:pPr>
        <w:widowControl/>
        <w:suppressAutoHyphens/>
        <w:contextualSpacing/>
        <w:rPr>
          <w:sz w:val="18"/>
          <w:szCs w:val="18"/>
        </w:rPr>
      </w:pPr>
      <w:r w:rsidRPr="006427E8">
        <w:rPr>
          <w:sz w:val="18"/>
          <w:szCs w:val="18"/>
        </w:rPr>
        <w:tab/>
        <w:t>(c)  additional public notice is desired;</w:t>
      </w:r>
    </w:p>
    <w:p w14:paraId="3B276506" w14:textId="77777777" w:rsidR="00F97991" w:rsidRPr="006427E8" w:rsidRDefault="00F97991" w:rsidP="00F97991">
      <w:pPr>
        <w:widowControl/>
        <w:suppressAutoHyphens/>
        <w:contextualSpacing/>
        <w:rPr>
          <w:sz w:val="18"/>
          <w:szCs w:val="18"/>
        </w:rPr>
      </w:pPr>
      <w:r w:rsidRPr="006427E8">
        <w:rPr>
          <w:sz w:val="18"/>
          <w:szCs w:val="18"/>
        </w:rPr>
        <w:tab/>
        <w:t>(d)  there was a lack of adequate competition; or</w:t>
      </w:r>
    </w:p>
    <w:p w14:paraId="715B6D92" w14:textId="77777777" w:rsidR="00F97991" w:rsidRPr="006427E8" w:rsidRDefault="00F97991" w:rsidP="00F97991">
      <w:pPr>
        <w:widowControl/>
        <w:suppressAutoHyphens/>
        <w:contextualSpacing/>
        <w:rPr>
          <w:sz w:val="18"/>
          <w:szCs w:val="18"/>
        </w:rPr>
      </w:pPr>
      <w:r w:rsidRPr="006427E8">
        <w:rPr>
          <w:sz w:val="18"/>
          <w:szCs w:val="18"/>
        </w:rPr>
        <w:tab/>
        <w:t>(e)  other reasons exist that are in the best interests of the procurement unit.</w:t>
      </w:r>
    </w:p>
    <w:p w14:paraId="5B876470" w14:textId="77777777" w:rsidR="00F97991" w:rsidRPr="006427E8" w:rsidRDefault="00F97991" w:rsidP="00F97991">
      <w:pPr>
        <w:widowControl/>
        <w:suppressAutoHyphens/>
        <w:contextualSpacing/>
        <w:rPr>
          <w:sz w:val="18"/>
          <w:szCs w:val="18"/>
        </w:rPr>
      </w:pPr>
      <w:r w:rsidRPr="006427E8">
        <w:rPr>
          <w:sz w:val="18"/>
          <w:szCs w:val="18"/>
        </w:rPr>
        <w:tab/>
        <w:t>(2)  Re-solicitation may not be used to avoid awarding a contract to a qualified vendor in an attempt to steer the award of a contract to a favored vendor.</w:t>
      </w:r>
    </w:p>
    <w:p w14:paraId="7424F3D4" w14:textId="77777777" w:rsidR="00F97991" w:rsidRPr="006427E8" w:rsidRDefault="00F97991" w:rsidP="00F97991">
      <w:pPr>
        <w:widowControl/>
        <w:suppressAutoHyphens/>
        <w:contextualSpacing/>
        <w:rPr>
          <w:sz w:val="18"/>
          <w:szCs w:val="18"/>
        </w:rPr>
      </w:pPr>
    </w:p>
    <w:p w14:paraId="48AAEF5F" w14:textId="77777777" w:rsidR="00F97991" w:rsidRPr="006427E8" w:rsidRDefault="00F97991" w:rsidP="00F97991">
      <w:pPr>
        <w:widowControl/>
        <w:suppressAutoHyphens/>
        <w:contextualSpacing/>
        <w:rPr>
          <w:sz w:val="18"/>
          <w:szCs w:val="18"/>
        </w:rPr>
      </w:pPr>
      <w:r w:rsidRPr="006427E8">
        <w:rPr>
          <w:b/>
          <w:sz w:val="18"/>
          <w:szCs w:val="18"/>
        </w:rPr>
        <w:t>R33-106-110.  Multiple or Alternate Bids.</w:t>
      </w:r>
    </w:p>
    <w:p w14:paraId="60ADE3F4" w14:textId="77777777" w:rsidR="00F97991" w:rsidRPr="006427E8" w:rsidRDefault="00F97991" w:rsidP="00F97991">
      <w:pPr>
        <w:widowControl/>
        <w:suppressAutoHyphens/>
        <w:contextualSpacing/>
        <w:rPr>
          <w:sz w:val="18"/>
          <w:szCs w:val="18"/>
        </w:rPr>
      </w:pPr>
      <w:r w:rsidRPr="006427E8">
        <w:rPr>
          <w:sz w:val="18"/>
          <w:szCs w:val="18"/>
        </w:rPr>
        <w:tab/>
        <w:t>(1)  Multiple or alternate bids will not be accepted, unless otherwise specifically required or allowed in the invitation for bids.</w:t>
      </w:r>
    </w:p>
    <w:p w14:paraId="0A0EFCAF" w14:textId="77777777" w:rsidR="00F97991" w:rsidRPr="006427E8" w:rsidRDefault="00F97991" w:rsidP="00F97991">
      <w:pPr>
        <w:widowControl/>
        <w:suppressAutoHyphens/>
        <w:contextualSpacing/>
        <w:rPr>
          <w:sz w:val="18"/>
          <w:szCs w:val="18"/>
        </w:rPr>
      </w:pPr>
      <w:r w:rsidRPr="006427E8">
        <w:rPr>
          <w:sz w:val="18"/>
          <w:szCs w:val="18"/>
        </w:rPr>
        <w:tab/>
        <w:t>(2)  If a bidder submits multiple or alternate bids that are not requested in the invitation for bids, the procurement official will only accept the bidder's first bid and will not accept any other bids constituting multiple or alternate bids.</w:t>
      </w:r>
    </w:p>
    <w:p w14:paraId="7C006E68" w14:textId="77777777" w:rsidR="00F97991" w:rsidRPr="006427E8" w:rsidRDefault="00F97991" w:rsidP="00F97991">
      <w:pPr>
        <w:widowControl/>
        <w:suppressAutoHyphens/>
        <w:contextualSpacing/>
        <w:rPr>
          <w:sz w:val="18"/>
          <w:szCs w:val="18"/>
        </w:rPr>
      </w:pPr>
    </w:p>
    <w:p w14:paraId="37988BC2" w14:textId="77777777" w:rsidR="00F97991" w:rsidRPr="006427E8" w:rsidRDefault="00F97991" w:rsidP="00F97991">
      <w:pPr>
        <w:widowControl/>
        <w:suppressAutoHyphens/>
        <w:contextualSpacing/>
        <w:rPr>
          <w:sz w:val="18"/>
          <w:szCs w:val="18"/>
        </w:rPr>
      </w:pPr>
      <w:r w:rsidRPr="006427E8">
        <w:rPr>
          <w:b/>
          <w:sz w:val="18"/>
          <w:szCs w:val="18"/>
        </w:rPr>
        <w:t>R33-106-111.  Methods to Resolve Tie Bids.</w:t>
      </w:r>
    </w:p>
    <w:p w14:paraId="7236749B" w14:textId="77777777" w:rsidR="00F97991" w:rsidRPr="006427E8" w:rsidRDefault="00F97991" w:rsidP="00F97991">
      <w:pPr>
        <w:widowControl/>
        <w:suppressAutoHyphens/>
        <w:contextualSpacing/>
        <w:rPr>
          <w:sz w:val="18"/>
          <w:szCs w:val="18"/>
        </w:rPr>
      </w:pPr>
      <w:r w:rsidRPr="006427E8">
        <w:rPr>
          <w:sz w:val="18"/>
          <w:szCs w:val="18"/>
        </w:rPr>
        <w:tab/>
        <w:t>(1)  In accordance with Section 63G-6a-608, in the event of tie bids, and only one of the tie bids was submitted by a Utah resident bidder, the contract shall be awarded to the Utah resident bidder, provided the bidder indicated on the invitation to bid form that it is a Utah resident bidder.</w:t>
      </w:r>
    </w:p>
    <w:p w14:paraId="2E244410" w14:textId="77777777" w:rsidR="00F97991" w:rsidRPr="006427E8" w:rsidRDefault="00F97991" w:rsidP="00F97991">
      <w:pPr>
        <w:widowControl/>
        <w:suppressAutoHyphens/>
        <w:contextualSpacing/>
        <w:rPr>
          <w:sz w:val="18"/>
          <w:szCs w:val="18"/>
        </w:rPr>
      </w:pPr>
      <w:r w:rsidRPr="006427E8">
        <w:rPr>
          <w:sz w:val="18"/>
          <w:szCs w:val="18"/>
        </w:rPr>
        <w:tab/>
        <w:t>(2)  If a Utah resident bidder is not identified, the preferred method for resolving tie bids shall be for the procurement official to toss a coin in the presence of a minimum of three witnesses with the bidder first in alphabetical order being designated as "heads" for the coin toss.</w:t>
      </w:r>
    </w:p>
    <w:p w14:paraId="4053E710" w14:textId="77777777" w:rsidR="00F97991" w:rsidRPr="006427E8" w:rsidRDefault="00F97991" w:rsidP="00F97991">
      <w:pPr>
        <w:widowControl/>
        <w:suppressAutoHyphens/>
        <w:contextualSpacing/>
        <w:rPr>
          <w:sz w:val="18"/>
          <w:szCs w:val="18"/>
        </w:rPr>
      </w:pPr>
      <w:r w:rsidRPr="006427E8">
        <w:rPr>
          <w:sz w:val="18"/>
          <w:szCs w:val="18"/>
        </w:rPr>
        <w:tab/>
        <w:t>(3)  Other methods to resolve a tie bid may be used as deemed appropriate by the procurement official.</w:t>
      </w:r>
    </w:p>
    <w:p w14:paraId="6DD43510" w14:textId="77777777" w:rsidR="00F97991" w:rsidRPr="006427E8" w:rsidRDefault="00F97991" w:rsidP="00F97991">
      <w:pPr>
        <w:widowControl/>
        <w:suppressAutoHyphens/>
        <w:contextualSpacing/>
        <w:rPr>
          <w:sz w:val="18"/>
          <w:szCs w:val="18"/>
        </w:rPr>
      </w:pPr>
    </w:p>
    <w:p w14:paraId="0104A85E" w14:textId="77777777" w:rsidR="00F97991" w:rsidRPr="006427E8" w:rsidRDefault="00F97991" w:rsidP="00F97991">
      <w:pPr>
        <w:widowControl/>
        <w:suppressAutoHyphens/>
        <w:contextualSpacing/>
        <w:rPr>
          <w:sz w:val="18"/>
          <w:szCs w:val="18"/>
        </w:rPr>
      </w:pPr>
      <w:r w:rsidRPr="006427E8">
        <w:rPr>
          <w:b/>
          <w:sz w:val="18"/>
          <w:szCs w:val="18"/>
        </w:rPr>
        <w:t>R33-106-112.  Publication of Award.</w:t>
      </w:r>
    </w:p>
    <w:p w14:paraId="2ABBD3E0" w14:textId="77777777" w:rsidR="00F97991" w:rsidRPr="006427E8" w:rsidRDefault="00F97991" w:rsidP="00F97991">
      <w:pPr>
        <w:widowControl/>
        <w:suppressAutoHyphens/>
        <w:contextualSpacing/>
        <w:rPr>
          <w:sz w:val="18"/>
          <w:szCs w:val="18"/>
        </w:rPr>
      </w:pPr>
      <w:r w:rsidRPr="006427E8">
        <w:rPr>
          <w:sz w:val="18"/>
          <w:szCs w:val="18"/>
        </w:rPr>
        <w:tab/>
        <w:t>The procurement unit shall, on the day on which the award of a contract is announced, make available to each bidder and to the public, a notice that includes:</w:t>
      </w:r>
    </w:p>
    <w:p w14:paraId="02BBF4EC" w14:textId="77777777" w:rsidR="00F97991" w:rsidRPr="006427E8" w:rsidRDefault="00F97991" w:rsidP="00F97991">
      <w:pPr>
        <w:widowControl/>
        <w:suppressAutoHyphens/>
        <w:contextualSpacing/>
        <w:rPr>
          <w:sz w:val="18"/>
          <w:szCs w:val="18"/>
        </w:rPr>
      </w:pPr>
      <w:r w:rsidRPr="006427E8">
        <w:rPr>
          <w:sz w:val="18"/>
          <w:szCs w:val="18"/>
        </w:rPr>
        <w:tab/>
        <w:t>(1)  the name of the bidder to which the contract is awarded and the price of the procurement item; and</w:t>
      </w:r>
    </w:p>
    <w:p w14:paraId="7FAFB7B7" w14:textId="77777777" w:rsidR="00F97991" w:rsidRPr="006427E8" w:rsidRDefault="00F97991" w:rsidP="00F97991">
      <w:pPr>
        <w:widowControl/>
        <w:suppressAutoHyphens/>
        <w:contextualSpacing/>
        <w:rPr>
          <w:sz w:val="18"/>
          <w:szCs w:val="18"/>
        </w:rPr>
      </w:pPr>
      <w:r w:rsidRPr="006427E8">
        <w:rPr>
          <w:sz w:val="18"/>
          <w:szCs w:val="18"/>
        </w:rPr>
        <w:tab/>
        <w:t>(2)  the names and the prices of each bidder to which the contract is not awarded.</w:t>
      </w:r>
    </w:p>
    <w:p w14:paraId="1327F5F6" w14:textId="77777777" w:rsidR="00F97991" w:rsidRPr="006427E8" w:rsidRDefault="00F97991" w:rsidP="00F97991">
      <w:pPr>
        <w:widowControl/>
        <w:suppressAutoHyphens/>
        <w:contextualSpacing/>
        <w:rPr>
          <w:sz w:val="18"/>
          <w:szCs w:val="18"/>
        </w:rPr>
      </w:pPr>
    </w:p>
    <w:p w14:paraId="7F13A4B9" w14:textId="77777777" w:rsidR="00F97991" w:rsidRPr="006427E8" w:rsidRDefault="00F97991" w:rsidP="00F97991">
      <w:pPr>
        <w:widowControl/>
        <w:suppressAutoHyphens/>
        <w:contextualSpacing/>
        <w:rPr>
          <w:sz w:val="18"/>
          <w:szCs w:val="18"/>
        </w:rPr>
      </w:pPr>
      <w:r w:rsidRPr="006427E8">
        <w:rPr>
          <w:b/>
          <w:sz w:val="18"/>
          <w:szCs w:val="18"/>
        </w:rPr>
        <w:t>KEY:  government purchasing, general procurement provisions, specifications, small purchases</w:t>
      </w:r>
    </w:p>
    <w:p w14:paraId="2FA33C8D" w14:textId="20694E4C" w:rsidR="00F97991" w:rsidRPr="006427E8" w:rsidRDefault="00F97991" w:rsidP="00F97991">
      <w:pPr>
        <w:widowControl/>
        <w:suppressAutoHyphens/>
        <w:contextualSpacing/>
        <w:rPr>
          <w:sz w:val="18"/>
          <w:szCs w:val="18"/>
        </w:rPr>
      </w:pPr>
      <w:r w:rsidRPr="006427E8">
        <w:rPr>
          <w:b/>
          <w:sz w:val="18"/>
          <w:szCs w:val="18"/>
        </w:rPr>
        <w:t xml:space="preserve">Date of Last Change:  </w:t>
      </w:r>
      <w:r w:rsidR="006E6457" w:rsidRPr="006427E8">
        <w:rPr>
          <w:b/>
          <w:sz w:val="18"/>
          <w:szCs w:val="18"/>
        </w:rPr>
        <w:t xml:space="preserve">October 22, </w:t>
      </w:r>
      <w:r w:rsidRPr="006427E8">
        <w:rPr>
          <w:b/>
          <w:sz w:val="18"/>
          <w:szCs w:val="18"/>
        </w:rPr>
        <w:t>2024</w:t>
      </w:r>
    </w:p>
    <w:p w14:paraId="2456C411" w14:textId="77777777" w:rsidR="00F97991" w:rsidRPr="006427E8" w:rsidRDefault="00F97991" w:rsidP="00F97991">
      <w:pPr>
        <w:widowControl/>
        <w:suppressAutoHyphens/>
        <w:contextualSpacing/>
        <w:rPr>
          <w:sz w:val="18"/>
          <w:szCs w:val="18"/>
        </w:rPr>
      </w:pPr>
      <w:r w:rsidRPr="006427E8">
        <w:rPr>
          <w:b/>
          <w:sz w:val="18"/>
          <w:szCs w:val="18"/>
        </w:rPr>
        <w:t>Authorizing, and Implemented or Interpreted Law:  63G-6a-107.7(1)</w:t>
      </w:r>
    </w:p>
    <w:p w14:paraId="2FAC87A9" w14:textId="77777777" w:rsidR="00F97991" w:rsidRPr="006427E8" w:rsidRDefault="00F97991" w:rsidP="00F97991">
      <w:pPr>
        <w:widowControl/>
        <w:suppressAutoHyphens/>
        <w:contextualSpacing/>
        <w:rPr>
          <w:sz w:val="18"/>
          <w:szCs w:val="18"/>
        </w:rPr>
      </w:pPr>
    </w:p>
    <w:p w14:paraId="6F5C7293" w14:textId="35E483D1" w:rsidR="009F4E46" w:rsidRPr="006427E8" w:rsidRDefault="009F4E46" w:rsidP="00F97991">
      <w:pPr>
        <w:widowControl/>
        <w:suppressAutoHyphens/>
        <w:rPr>
          <w:sz w:val="18"/>
        </w:rPr>
      </w:pPr>
    </w:p>
    <w:sectPr w:rsidR="009F4E46" w:rsidRPr="006427E8" w:rsidSect="006427E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E65C0" w14:textId="77777777" w:rsidR="004365B1" w:rsidRDefault="004365B1" w:rsidP="00C17968">
      <w:r>
        <w:separator/>
      </w:r>
    </w:p>
  </w:endnote>
  <w:endnote w:type="continuationSeparator" w:id="0">
    <w:p w14:paraId="25B2F261" w14:textId="77777777" w:rsidR="004365B1" w:rsidRDefault="004365B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251FF" w14:textId="77777777" w:rsidR="004365B1" w:rsidRDefault="004365B1" w:rsidP="00C17968">
      <w:r>
        <w:separator/>
      </w:r>
    </w:p>
  </w:footnote>
  <w:footnote w:type="continuationSeparator" w:id="0">
    <w:p w14:paraId="3E26A61D" w14:textId="77777777" w:rsidR="004365B1" w:rsidRDefault="004365B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52CE"/>
    <w:rsid w:val="00050AB6"/>
    <w:rsid w:val="0005628D"/>
    <w:rsid w:val="00083289"/>
    <w:rsid w:val="00086A4C"/>
    <w:rsid w:val="00092085"/>
    <w:rsid w:val="00092D64"/>
    <w:rsid w:val="000A63C1"/>
    <w:rsid w:val="000B0C8F"/>
    <w:rsid w:val="000C3C78"/>
    <w:rsid w:val="000E034A"/>
    <w:rsid w:val="000E7CDD"/>
    <w:rsid w:val="000F5843"/>
    <w:rsid w:val="00101FCF"/>
    <w:rsid w:val="00102BB0"/>
    <w:rsid w:val="00124472"/>
    <w:rsid w:val="00136C69"/>
    <w:rsid w:val="00136E6B"/>
    <w:rsid w:val="00140007"/>
    <w:rsid w:val="00140B4F"/>
    <w:rsid w:val="00151B36"/>
    <w:rsid w:val="001769DF"/>
    <w:rsid w:val="0018100B"/>
    <w:rsid w:val="001A01D0"/>
    <w:rsid w:val="001B1B40"/>
    <w:rsid w:val="001B5603"/>
    <w:rsid w:val="001C3DAB"/>
    <w:rsid w:val="001F78BA"/>
    <w:rsid w:val="002004A4"/>
    <w:rsid w:val="00210E2C"/>
    <w:rsid w:val="002120B4"/>
    <w:rsid w:val="00214BA0"/>
    <w:rsid w:val="00250B69"/>
    <w:rsid w:val="00253C3B"/>
    <w:rsid w:val="00256032"/>
    <w:rsid w:val="002639EB"/>
    <w:rsid w:val="00266359"/>
    <w:rsid w:val="002678DC"/>
    <w:rsid w:val="00272D20"/>
    <w:rsid w:val="00282CAA"/>
    <w:rsid w:val="00287A20"/>
    <w:rsid w:val="00291DCA"/>
    <w:rsid w:val="00296B1A"/>
    <w:rsid w:val="00296B2B"/>
    <w:rsid w:val="00297523"/>
    <w:rsid w:val="002B5227"/>
    <w:rsid w:val="002B721A"/>
    <w:rsid w:val="002C31EE"/>
    <w:rsid w:val="002C651B"/>
    <w:rsid w:val="002D4474"/>
    <w:rsid w:val="002E589D"/>
    <w:rsid w:val="002E6F38"/>
    <w:rsid w:val="002F1164"/>
    <w:rsid w:val="002F45BF"/>
    <w:rsid w:val="003121D3"/>
    <w:rsid w:val="00316A41"/>
    <w:rsid w:val="003217E6"/>
    <w:rsid w:val="00335956"/>
    <w:rsid w:val="0033622C"/>
    <w:rsid w:val="00342459"/>
    <w:rsid w:val="00373FE5"/>
    <w:rsid w:val="00380D52"/>
    <w:rsid w:val="003B6116"/>
    <w:rsid w:val="003D601B"/>
    <w:rsid w:val="003D750F"/>
    <w:rsid w:val="003E6785"/>
    <w:rsid w:val="003F64A7"/>
    <w:rsid w:val="003F6A4F"/>
    <w:rsid w:val="00402912"/>
    <w:rsid w:val="00403755"/>
    <w:rsid w:val="00414E0D"/>
    <w:rsid w:val="00430473"/>
    <w:rsid w:val="004365B1"/>
    <w:rsid w:val="004423A3"/>
    <w:rsid w:val="00452136"/>
    <w:rsid w:val="00457B35"/>
    <w:rsid w:val="00462360"/>
    <w:rsid w:val="00465A08"/>
    <w:rsid w:val="004803F6"/>
    <w:rsid w:val="004A031A"/>
    <w:rsid w:val="004B7F3B"/>
    <w:rsid w:val="004C20EA"/>
    <w:rsid w:val="004C4015"/>
    <w:rsid w:val="004D328F"/>
    <w:rsid w:val="0050423D"/>
    <w:rsid w:val="00514635"/>
    <w:rsid w:val="00516E14"/>
    <w:rsid w:val="00543E6D"/>
    <w:rsid w:val="00550E5F"/>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158E"/>
    <w:rsid w:val="005D674B"/>
    <w:rsid w:val="005D6A7E"/>
    <w:rsid w:val="005F7305"/>
    <w:rsid w:val="00617D1E"/>
    <w:rsid w:val="00631C68"/>
    <w:rsid w:val="006408C9"/>
    <w:rsid w:val="006427E8"/>
    <w:rsid w:val="006431BE"/>
    <w:rsid w:val="00645CEA"/>
    <w:rsid w:val="00646433"/>
    <w:rsid w:val="00646E1C"/>
    <w:rsid w:val="006523C2"/>
    <w:rsid w:val="006604BD"/>
    <w:rsid w:val="006661C3"/>
    <w:rsid w:val="006667C3"/>
    <w:rsid w:val="006750A8"/>
    <w:rsid w:val="0067675C"/>
    <w:rsid w:val="00682427"/>
    <w:rsid w:val="0069040D"/>
    <w:rsid w:val="006936DF"/>
    <w:rsid w:val="006A3F24"/>
    <w:rsid w:val="006A7D14"/>
    <w:rsid w:val="006B70AF"/>
    <w:rsid w:val="006D167F"/>
    <w:rsid w:val="006E6457"/>
    <w:rsid w:val="007047A1"/>
    <w:rsid w:val="00713104"/>
    <w:rsid w:val="00715301"/>
    <w:rsid w:val="00716F7B"/>
    <w:rsid w:val="007231FC"/>
    <w:rsid w:val="00723BDF"/>
    <w:rsid w:val="00736DC2"/>
    <w:rsid w:val="00753C35"/>
    <w:rsid w:val="00757636"/>
    <w:rsid w:val="00757D56"/>
    <w:rsid w:val="007613E9"/>
    <w:rsid w:val="00762BDA"/>
    <w:rsid w:val="00772653"/>
    <w:rsid w:val="00796BA5"/>
    <w:rsid w:val="007A1FEA"/>
    <w:rsid w:val="007B6C82"/>
    <w:rsid w:val="007D0B87"/>
    <w:rsid w:val="007D1F9D"/>
    <w:rsid w:val="007D40BA"/>
    <w:rsid w:val="00802A0B"/>
    <w:rsid w:val="00815439"/>
    <w:rsid w:val="008315F8"/>
    <w:rsid w:val="00835660"/>
    <w:rsid w:val="00840B24"/>
    <w:rsid w:val="00844B36"/>
    <w:rsid w:val="00857A87"/>
    <w:rsid w:val="008637F2"/>
    <w:rsid w:val="008705CB"/>
    <w:rsid w:val="008829AB"/>
    <w:rsid w:val="00890A1F"/>
    <w:rsid w:val="008B0B8A"/>
    <w:rsid w:val="008C27D0"/>
    <w:rsid w:val="008D6C4B"/>
    <w:rsid w:val="008E7D9B"/>
    <w:rsid w:val="009174AF"/>
    <w:rsid w:val="009226D8"/>
    <w:rsid w:val="00922D61"/>
    <w:rsid w:val="009279FD"/>
    <w:rsid w:val="00927C31"/>
    <w:rsid w:val="009510CD"/>
    <w:rsid w:val="00964E49"/>
    <w:rsid w:val="0099724C"/>
    <w:rsid w:val="009A2A78"/>
    <w:rsid w:val="009B5790"/>
    <w:rsid w:val="009C0017"/>
    <w:rsid w:val="009C2A6A"/>
    <w:rsid w:val="009E5ABD"/>
    <w:rsid w:val="009E66C4"/>
    <w:rsid w:val="009F4E46"/>
    <w:rsid w:val="00A0145C"/>
    <w:rsid w:val="00A2194C"/>
    <w:rsid w:val="00A2684B"/>
    <w:rsid w:val="00A348D3"/>
    <w:rsid w:val="00A41D37"/>
    <w:rsid w:val="00A52209"/>
    <w:rsid w:val="00A6312E"/>
    <w:rsid w:val="00A93EFE"/>
    <w:rsid w:val="00AA1956"/>
    <w:rsid w:val="00AA3498"/>
    <w:rsid w:val="00AA649A"/>
    <w:rsid w:val="00AB0BE0"/>
    <w:rsid w:val="00AB5714"/>
    <w:rsid w:val="00AB7921"/>
    <w:rsid w:val="00AC2734"/>
    <w:rsid w:val="00AC60A3"/>
    <w:rsid w:val="00AD5BF8"/>
    <w:rsid w:val="00AF1519"/>
    <w:rsid w:val="00B0160D"/>
    <w:rsid w:val="00B05550"/>
    <w:rsid w:val="00B12932"/>
    <w:rsid w:val="00B132A1"/>
    <w:rsid w:val="00B1423E"/>
    <w:rsid w:val="00B2309A"/>
    <w:rsid w:val="00B33858"/>
    <w:rsid w:val="00B41350"/>
    <w:rsid w:val="00B606F6"/>
    <w:rsid w:val="00B61024"/>
    <w:rsid w:val="00B62A8D"/>
    <w:rsid w:val="00B67C05"/>
    <w:rsid w:val="00B761FE"/>
    <w:rsid w:val="00B974B0"/>
    <w:rsid w:val="00BC5E52"/>
    <w:rsid w:val="00BD38D5"/>
    <w:rsid w:val="00BE6E0F"/>
    <w:rsid w:val="00C07C48"/>
    <w:rsid w:val="00C17425"/>
    <w:rsid w:val="00C17968"/>
    <w:rsid w:val="00C17B64"/>
    <w:rsid w:val="00C2179A"/>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E69B4"/>
    <w:rsid w:val="00CF36B3"/>
    <w:rsid w:val="00D01884"/>
    <w:rsid w:val="00D0333F"/>
    <w:rsid w:val="00D06A99"/>
    <w:rsid w:val="00D13F53"/>
    <w:rsid w:val="00D222F2"/>
    <w:rsid w:val="00D22416"/>
    <w:rsid w:val="00D2400F"/>
    <w:rsid w:val="00D26D4A"/>
    <w:rsid w:val="00D31690"/>
    <w:rsid w:val="00D330D2"/>
    <w:rsid w:val="00D41554"/>
    <w:rsid w:val="00D41ABA"/>
    <w:rsid w:val="00D66564"/>
    <w:rsid w:val="00D76607"/>
    <w:rsid w:val="00D7747A"/>
    <w:rsid w:val="00D97919"/>
    <w:rsid w:val="00DA141F"/>
    <w:rsid w:val="00DA783E"/>
    <w:rsid w:val="00DC0B97"/>
    <w:rsid w:val="00DC51B5"/>
    <w:rsid w:val="00DD12CE"/>
    <w:rsid w:val="00DE4AAB"/>
    <w:rsid w:val="00E05A91"/>
    <w:rsid w:val="00E06657"/>
    <w:rsid w:val="00E16302"/>
    <w:rsid w:val="00E33057"/>
    <w:rsid w:val="00E33275"/>
    <w:rsid w:val="00E45670"/>
    <w:rsid w:val="00E52C8D"/>
    <w:rsid w:val="00E536BE"/>
    <w:rsid w:val="00E62DBC"/>
    <w:rsid w:val="00E71631"/>
    <w:rsid w:val="00E71E51"/>
    <w:rsid w:val="00E82DA7"/>
    <w:rsid w:val="00E91C27"/>
    <w:rsid w:val="00E9260B"/>
    <w:rsid w:val="00E945AC"/>
    <w:rsid w:val="00EB0212"/>
    <w:rsid w:val="00EB3D35"/>
    <w:rsid w:val="00EC01D2"/>
    <w:rsid w:val="00EC7C9D"/>
    <w:rsid w:val="00ED727A"/>
    <w:rsid w:val="00EE6D3C"/>
    <w:rsid w:val="00F1268F"/>
    <w:rsid w:val="00F136AB"/>
    <w:rsid w:val="00F256A4"/>
    <w:rsid w:val="00F278A7"/>
    <w:rsid w:val="00F31687"/>
    <w:rsid w:val="00F33CF9"/>
    <w:rsid w:val="00F35997"/>
    <w:rsid w:val="00F40EA6"/>
    <w:rsid w:val="00F42C14"/>
    <w:rsid w:val="00F50763"/>
    <w:rsid w:val="00F552E9"/>
    <w:rsid w:val="00F700BD"/>
    <w:rsid w:val="00F72AC8"/>
    <w:rsid w:val="00F87DE9"/>
    <w:rsid w:val="00F91CB5"/>
    <w:rsid w:val="00F95ADD"/>
    <w:rsid w:val="00F96E65"/>
    <w:rsid w:val="00F97991"/>
    <w:rsid w:val="00FA4848"/>
    <w:rsid w:val="00FB2616"/>
    <w:rsid w:val="00FC3FAE"/>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3946">
      <w:bodyDiv w:val="1"/>
      <w:marLeft w:val="0"/>
      <w:marRight w:val="0"/>
      <w:marTop w:val="0"/>
      <w:marBottom w:val="0"/>
      <w:divBdr>
        <w:top w:val="none" w:sz="0" w:space="0" w:color="auto"/>
        <w:left w:val="none" w:sz="0" w:space="0" w:color="auto"/>
        <w:bottom w:val="none" w:sz="0" w:space="0" w:color="auto"/>
        <w:right w:val="none" w:sz="0" w:space="0" w:color="auto"/>
      </w:divBdr>
    </w:div>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 w:id="168909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DDBC2-ACFF-4958-A119-C08F0DFBE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2024-10-24T18:46:00Z</dcterms:created>
  <dcterms:modified xsi:type="dcterms:W3CDTF">2024-10-24T18:46:00Z</dcterms:modified>
</cp:coreProperties>
</file>