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40A47C" w14:textId="7A36672E" w:rsidR="005576D0" w:rsidRPr="00426CC6" w:rsidRDefault="005576D0" w:rsidP="005576D0">
      <w:pPr>
        <w:widowControl/>
        <w:suppressAutoHyphens/>
        <w:rPr>
          <w:sz w:val="18"/>
          <w:szCs w:val="18"/>
        </w:rPr>
      </w:pPr>
      <w:r w:rsidRPr="00426CC6">
        <w:rPr>
          <w:sz w:val="18"/>
          <w:szCs w:val="18"/>
          <w:lang w:val="en-CA"/>
        </w:rPr>
        <w:fldChar w:fldCharType="begin"/>
      </w:r>
      <w:r w:rsidRPr="00426CC6">
        <w:rPr>
          <w:sz w:val="18"/>
          <w:szCs w:val="18"/>
          <w:lang w:val="en-CA"/>
        </w:rPr>
        <w:instrText xml:space="preserve"> SEQ CHAPTER \h \r 1</w:instrText>
      </w:r>
      <w:r w:rsidRPr="00426CC6">
        <w:rPr>
          <w:sz w:val="18"/>
          <w:szCs w:val="18"/>
          <w:lang w:val="en-CA"/>
        </w:rPr>
        <w:fldChar w:fldCharType="end"/>
      </w:r>
      <w:r w:rsidRPr="00426CC6">
        <w:rPr>
          <w:b/>
          <w:bCs/>
          <w:sz w:val="18"/>
          <w:szCs w:val="18"/>
        </w:rPr>
        <w:t>R995.  Workforce Services, School Readiness Program.</w:t>
      </w:r>
    </w:p>
    <w:p w14:paraId="61F2DD1F" w14:textId="1421589C" w:rsidR="005576D0" w:rsidRPr="00426CC6" w:rsidRDefault="005576D0" w:rsidP="005576D0">
      <w:pPr>
        <w:widowControl/>
        <w:suppressAutoHyphens/>
        <w:rPr>
          <w:sz w:val="18"/>
          <w:szCs w:val="18"/>
        </w:rPr>
      </w:pPr>
      <w:r w:rsidRPr="00426CC6">
        <w:rPr>
          <w:b/>
          <w:bCs/>
          <w:sz w:val="18"/>
          <w:szCs w:val="18"/>
        </w:rPr>
        <w:t>R995-100.  School Readiness Program.</w:t>
      </w:r>
    </w:p>
    <w:p w14:paraId="3D19D152" w14:textId="77777777" w:rsidR="005576D0" w:rsidRPr="00426CC6" w:rsidRDefault="005576D0" w:rsidP="005576D0">
      <w:pPr>
        <w:widowControl/>
        <w:suppressAutoHyphens/>
        <w:rPr>
          <w:sz w:val="18"/>
          <w:szCs w:val="18"/>
        </w:rPr>
      </w:pPr>
      <w:r w:rsidRPr="00426CC6">
        <w:rPr>
          <w:b/>
          <w:bCs/>
          <w:sz w:val="18"/>
          <w:szCs w:val="18"/>
        </w:rPr>
        <w:t>R955-100-100.  Purpose.</w:t>
      </w:r>
    </w:p>
    <w:p w14:paraId="22800637" w14:textId="03FB5C96" w:rsidR="005576D0" w:rsidRPr="00426CC6" w:rsidRDefault="005576D0" w:rsidP="005576D0">
      <w:pPr>
        <w:widowControl/>
        <w:suppressAutoHyphens/>
        <w:rPr>
          <w:sz w:val="18"/>
          <w:szCs w:val="18"/>
        </w:rPr>
      </w:pPr>
      <w:r w:rsidRPr="00426CC6">
        <w:rPr>
          <w:sz w:val="18"/>
          <w:szCs w:val="18"/>
        </w:rPr>
        <w:tab/>
        <w:t>This rule describes the processes and procedures for administering the School Readiness Program in Title 35A, Chapter 15, Preschool Programs.</w:t>
      </w:r>
    </w:p>
    <w:p w14:paraId="247B3423" w14:textId="77777777" w:rsidR="005576D0" w:rsidRPr="00426CC6" w:rsidRDefault="005576D0" w:rsidP="005576D0">
      <w:pPr>
        <w:widowControl/>
        <w:suppressAutoHyphens/>
        <w:rPr>
          <w:sz w:val="18"/>
          <w:szCs w:val="18"/>
        </w:rPr>
      </w:pPr>
    </w:p>
    <w:p w14:paraId="258BF97C" w14:textId="77777777" w:rsidR="005576D0" w:rsidRPr="00426CC6" w:rsidRDefault="005576D0" w:rsidP="005576D0">
      <w:pPr>
        <w:widowControl/>
        <w:suppressAutoHyphens/>
        <w:rPr>
          <w:sz w:val="18"/>
          <w:szCs w:val="18"/>
        </w:rPr>
      </w:pPr>
      <w:r w:rsidRPr="00426CC6">
        <w:rPr>
          <w:b/>
          <w:bCs/>
          <w:sz w:val="18"/>
          <w:szCs w:val="18"/>
        </w:rPr>
        <w:t>R955-100-101.  Authority.</w:t>
      </w:r>
    </w:p>
    <w:p w14:paraId="05EECA90" w14:textId="3E614AEC" w:rsidR="005576D0" w:rsidRPr="00426CC6" w:rsidRDefault="005576D0" w:rsidP="005576D0">
      <w:pPr>
        <w:widowControl/>
        <w:suppressAutoHyphens/>
        <w:rPr>
          <w:sz w:val="18"/>
          <w:szCs w:val="18"/>
        </w:rPr>
      </w:pPr>
      <w:r w:rsidRPr="00426CC6">
        <w:rPr>
          <w:sz w:val="18"/>
          <w:szCs w:val="18"/>
        </w:rPr>
        <w:tab/>
        <w:t>This rule is authorized by Sections 35A-15-301 through 35A-15-303 and is enacted under Title 63G, Chapter 3, Utah Administrative Rulemaking Act.</w:t>
      </w:r>
    </w:p>
    <w:p w14:paraId="34DDB8DA" w14:textId="77777777" w:rsidR="005576D0" w:rsidRPr="00426CC6" w:rsidRDefault="005576D0" w:rsidP="005576D0">
      <w:pPr>
        <w:widowControl/>
        <w:suppressAutoHyphens/>
        <w:rPr>
          <w:sz w:val="18"/>
          <w:szCs w:val="18"/>
        </w:rPr>
      </w:pPr>
    </w:p>
    <w:p w14:paraId="39094210" w14:textId="77777777" w:rsidR="005576D0" w:rsidRPr="00426CC6" w:rsidRDefault="005576D0" w:rsidP="005576D0">
      <w:pPr>
        <w:widowControl/>
        <w:suppressAutoHyphens/>
        <w:rPr>
          <w:sz w:val="18"/>
          <w:szCs w:val="18"/>
        </w:rPr>
      </w:pPr>
      <w:r w:rsidRPr="00426CC6">
        <w:rPr>
          <w:b/>
          <w:bCs/>
          <w:sz w:val="18"/>
          <w:szCs w:val="18"/>
        </w:rPr>
        <w:t>R955-100-102.  Definitions.</w:t>
      </w:r>
    </w:p>
    <w:p w14:paraId="33382280" w14:textId="77777777" w:rsidR="005576D0" w:rsidRPr="00426CC6" w:rsidRDefault="005576D0" w:rsidP="005576D0">
      <w:pPr>
        <w:widowControl/>
        <w:suppressAutoHyphens/>
        <w:rPr>
          <w:sz w:val="18"/>
          <w:szCs w:val="18"/>
        </w:rPr>
      </w:pPr>
      <w:r w:rsidRPr="00426CC6">
        <w:rPr>
          <w:sz w:val="18"/>
          <w:szCs w:val="18"/>
        </w:rPr>
        <w:tab/>
        <w:t>(1)  The terms used in this rule are defined in Section 35A-15-102.</w:t>
      </w:r>
    </w:p>
    <w:p w14:paraId="0B90554E" w14:textId="77777777" w:rsidR="005576D0" w:rsidRPr="00426CC6" w:rsidRDefault="005576D0" w:rsidP="005576D0">
      <w:pPr>
        <w:widowControl/>
        <w:suppressAutoHyphens/>
        <w:rPr>
          <w:sz w:val="18"/>
          <w:szCs w:val="18"/>
        </w:rPr>
      </w:pPr>
      <w:r w:rsidRPr="00426CC6">
        <w:rPr>
          <w:sz w:val="18"/>
          <w:szCs w:val="18"/>
        </w:rPr>
        <w:tab/>
        <w:t>(2)  In addition:</w:t>
      </w:r>
    </w:p>
    <w:p w14:paraId="20D90536" w14:textId="35840CD6" w:rsidR="005576D0" w:rsidRPr="00426CC6" w:rsidRDefault="005576D0" w:rsidP="005576D0">
      <w:pPr>
        <w:widowControl/>
        <w:suppressAutoHyphens/>
        <w:rPr>
          <w:sz w:val="18"/>
          <w:szCs w:val="18"/>
        </w:rPr>
      </w:pPr>
      <w:r w:rsidRPr="00426CC6">
        <w:rPr>
          <w:sz w:val="18"/>
          <w:szCs w:val="18"/>
        </w:rPr>
        <w:tab/>
        <w:t>(a)  "OCC" means the Department of Workforce Services, Office of Child Care.</w:t>
      </w:r>
    </w:p>
    <w:p w14:paraId="40A99C05" w14:textId="0C712801" w:rsidR="005576D0" w:rsidRPr="00426CC6" w:rsidRDefault="005576D0" w:rsidP="005576D0">
      <w:pPr>
        <w:widowControl/>
        <w:suppressAutoHyphens/>
        <w:rPr>
          <w:sz w:val="18"/>
          <w:szCs w:val="18"/>
        </w:rPr>
      </w:pPr>
      <w:r w:rsidRPr="00426CC6">
        <w:rPr>
          <w:sz w:val="18"/>
          <w:szCs w:val="18"/>
        </w:rPr>
        <w:tab/>
        <w:t>(b)  "SRT" means school readiness team.</w:t>
      </w:r>
    </w:p>
    <w:p w14:paraId="45D33685" w14:textId="77777777" w:rsidR="005576D0" w:rsidRPr="00426CC6" w:rsidRDefault="005576D0" w:rsidP="005576D0">
      <w:pPr>
        <w:widowControl/>
        <w:suppressAutoHyphens/>
        <w:rPr>
          <w:sz w:val="18"/>
          <w:szCs w:val="18"/>
        </w:rPr>
      </w:pPr>
    </w:p>
    <w:p w14:paraId="52DF69D3" w14:textId="6C185D57" w:rsidR="005576D0" w:rsidRPr="00426CC6" w:rsidRDefault="005576D0" w:rsidP="005576D0">
      <w:pPr>
        <w:widowControl/>
        <w:suppressAutoHyphens/>
        <w:rPr>
          <w:sz w:val="18"/>
          <w:szCs w:val="18"/>
        </w:rPr>
      </w:pPr>
      <w:r w:rsidRPr="00426CC6">
        <w:rPr>
          <w:b/>
          <w:bCs/>
          <w:sz w:val="18"/>
          <w:szCs w:val="18"/>
        </w:rPr>
        <w:t>R955-100-103.  Priority for Funding.</w:t>
      </w:r>
    </w:p>
    <w:p w14:paraId="5FEBB7DD" w14:textId="7DC1CE89" w:rsidR="005576D0" w:rsidRPr="00426CC6" w:rsidRDefault="005576D0" w:rsidP="005576D0">
      <w:pPr>
        <w:widowControl/>
        <w:suppressAutoHyphens/>
        <w:rPr>
          <w:sz w:val="18"/>
          <w:szCs w:val="18"/>
        </w:rPr>
      </w:pPr>
      <w:r w:rsidRPr="00426CC6">
        <w:rPr>
          <w:sz w:val="18"/>
          <w:szCs w:val="18"/>
        </w:rPr>
        <w:tab/>
        <w:t>(1)  The School Readiness Restricted Account distribution of funds is prioritized as follows:</w:t>
      </w:r>
    </w:p>
    <w:p w14:paraId="70F98EEB" w14:textId="77777777" w:rsidR="005576D0" w:rsidRPr="00426CC6" w:rsidRDefault="005576D0" w:rsidP="005576D0">
      <w:pPr>
        <w:widowControl/>
        <w:suppressAutoHyphens/>
        <w:rPr>
          <w:sz w:val="18"/>
          <w:szCs w:val="18"/>
        </w:rPr>
      </w:pPr>
      <w:r w:rsidRPr="00426CC6">
        <w:rPr>
          <w:sz w:val="18"/>
          <w:szCs w:val="18"/>
        </w:rPr>
        <w:tab/>
        <w:t>(a)  to pay results-based contracts if awarded;</w:t>
      </w:r>
    </w:p>
    <w:p w14:paraId="30ECD451" w14:textId="77777777" w:rsidR="005576D0" w:rsidRPr="00426CC6" w:rsidRDefault="005576D0" w:rsidP="005576D0">
      <w:pPr>
        <w:widowControl/>
        <w:suppressAutoHyphens/>
        <w:rPr>
          <w:sz w:val="18"/>
          <w:szCs w:val="18"/>
        </w:rPr>
      </w:pPr>
      <w:r w:rsidRPr="00426CC6">
        <w:rPr>
          <w:sz w:val="18"/>
          <w:szCs w:val="18"/>
        </w:rPr>
        <w:tab/>
        <w:t>(b)  to grant awards for high quality school readiness programs; and</w:t>
      </w:r>
    </w:p>
    <w:p w14:paraId="089A0683" w14:textId="77777777" w:rsidR="005576D0" w:rsidRPr="00426CC6" w:rsidRDefault="005576D0" w:rsidP="005576D0">
      <w:pPr>
        <w:widowControl/>
        <w:suppressAutoHyphens/>
        <w:rPr>
          <w:sz w:val="18"/>
          <w:szCs w:val="18"/>
        </w:rPr>
      </w:pPr>
      <w:r w:rsidRPr="00426CC6">
        <w:rPr>
          <w:sz w:val="18"/>
          <w:szCs w:val="18"/>
        </w:rPr>
        <w:tab/>
        <w:t>(c)  if funds remain, to grant awards for becoming quality school readiness programs.</w:t>
      </w:r>
    </w:p>
    <w:p w14:paraId="17F89653" w14:textId="0F1D4865" w:rsidR="005576D0" w:rsidRPr="00426CC6" w:rsidRDefault="005576D0" w:rsidP="005576D0">
      <w:pPr>
        <w:widowControl/>
        <w:suppressAutoHyphens/>
        <w:rPr>
          <w:sz w:val="18"/>
          <w:szCs w:val="18"/>
        </w:rPr>
      </w:pPr>
      <w:r w:rsidRPr="00426CC6">
        <w:rPr>
          <w:sz w:val="18"/>
          <w:szCs w:val="18"/>
        </w:rPr>
        <w:tab/>
        <w:t>(2)  Department staff shall develop grant documentation in consultation with the SRT.</w:t>
      </w:r>
    </w:p>
    <w:p w14:paraId="36ABB39D" w14:textId="77777777" w:rsidR="005576D0" w:rsidRPr="00426CC6" w:rsidRDefault="005576D0" w:rsidP="005576D0">
      <w:pPr>
        <w:widowControl/>
        <w:suppressAutoHyphens/>
        <w:rPr>
          <w:sz w:val="18"/>
          <w:szCs w:val="18"/>
        </w:rPr>
      </w:pPr>
      <w:r w:rsidRPr="00426CC6">
        <w:rPr>
          <w:sz w:val="18"/>
          <w:szCs w:val="18"/>
        </w:rPr>
        <w:tab/>
        <w:t>(3)  The department shall give priority in awarding a high quality school readiness grant to an applicant that has previously received a high quality school readiness grant, if all criteria are met.</w:t>
      </w:r>
    </w:p>
    <w:p w14:paraId="7416501E" w14:textId="77777777" w:rsidR="005576D0" w:rsidRPr="00426CC6" w:rsidRDefault="005576D0" w:rsidP="005576D0">
      <w:pPr>
        <w:widowControl/>
        <w:suppressAutoHyphens/>
        <w:rPr>
          <w:sz w:val="18"/>
          <w:szCs w:val="18"/>
        </w:rPr>
      </w:pPr>
    </w:p>
    <w:p w14:paraId="170C970C" w14:textId="716F1072" w:rsidR="005576D0" w:rsidRPr="00426CC6" w:rsidRDefault="005576D0" w:rsidP="005576D0">
      <w:pPr>
        <w:widowControl/>
        <w:suppressAutoHyphens/>
        <w:rPr>
          <w:sz w:val="18"/>
          <w:szCs w:val="18"/>
        </w:rPr>
      </w:pPr>
      <w:r w:rsidRPr="00426CC6">
        <w:rPr>
          <w:b/>
          <w:bCs/>
          <w:sz w:val="18"/>
          <w:szCs w:val="18"/>
        </w:rPr>
        <w:t>R955-100-200.  Becoming Quality School Readiness Grant Program.</w:t>
      </w:r>
    </w:p>
    <w:p w14:paraId="590B5C7B" w14:textId="77777777" w:rsidR="005576D0" w:rsidRPr="00426CC6" w:rsidRDefault="005576D0" w:rsidP="005576D0">
      <w:pPr>
        <w:widowControl/>
        <w:suppressAutoHyphens/>
        <w:rPr>
          <w:sz w:val="18"/>
          <w:szCs w:val="18"/>
        </w:rPr>
      </w:pPr>
      <w:r w:rsidRPr="00426CC6">
        <w:rPr>
          <w:sz w:val="18"/>
          <w:szCs w:val="18"/>
        </w:rPr>
        <w:tab/>
        <w:t>(1)  A grant under this section shall be awarded by the department in consultation with the SRT.</w:t>
      </w:r>
    </w:p>
    <w:p w14:paraId="214E163E" w14:textId="6BD1C91B" w:rsidR="005576D0" w:rsidRPr="00426CC6" w:rsidRDefault="005576D0" w:rsidP="005576D0">
      <w:pPr>
        <w:widowControl/>
        <w:suppressAutoHyphens/>
        <w:rPr>
          <w:sz w:val="18"/>
          <w:szCs w:val="18"/>
        </w:rPr>
      </w:pPr>
      <w:r w:rsidRPr="00426CC6">
        <w:rPr>
          <w:sz w:val="18"/>
          <w:szCs w:val="18"/>
        </w:rPr>
        <w:tab/>
        <w:t>(2)  During each program year, a grant recipient shall administer and report results of the assessments required in the grant agreement.</w:t>
      </w:r>
    </w:p>
    <w:p w14:paraId="1774BB85" w14:textId="5296FF65" w:rsidR="005576D0" w:rsidRPr="00426CC6" w:rsidRDefault="005576D0" w:rsidP="005576D0">
      <w:pPr>
        <w:widowControl/>
        <w:suppressAutoHyphens/>
        <w:rPr>
          <w:sz w:val="18"/>
          <w:szCs w:val="18"/>
        </w:rPr>
      </w:pPr>
      <w:r w:rsidRPr="00426CC6">
        <w:rPr>
          <w:sz w:val="18"/>
          <w:szCs w:val="18"/>
        </w:rPr>
        <w:tab/>
        <w:t>(3)  The department shall monitor a grant recipient in accordance with department policy and procedure, and in consultation with the SRT.</w:t>
      </w:r>
    </w:p>
    <w:p w14:paraId="744AA4F2" w14:textId="05D0AB13" w:rsidR="005576D0" w:rsidRPr="00426CC6" w:rsidRDefault="005576D0" w:rsidP="005576D0">
      <w:pPr>
        <w:widowControl/>
        <w:suppressAutoHyphens/>
        <w:rPr>
          <w:sz w:val="18"/>
          <w:szCs w:val="18"/>
        </w:rPr>
      </w:pPr>
      <w:r w:rsidRPr="00426CC6">
        <w:rPr>
          <w:sz w:val="18"/>
          <w:szCs w:val="18"/>
        </w:rPr>
        <w:tab/>
        <w:t>(a)  Monitoring may include:</w:t>
      </w:r>
    </w:p>
    <w:p w14:paraId="6EA6CAA0" w14:textId="313FA22A" w:rsidR="005576D0" w:rsidRPr="00426CC6" w:rsidRDefault="005576D0" w:rsidP="005576D0">
      <w:pPr>
        <w:widowControl/>
        <w:suppressAutoHyphens/>
        <w:rPr>
          <w:sz w:val="18"/>
          <w:szCs w:val="18"/>
        </w:rPr>
      </w:pPr>
      <w:r w:rsidRPr="00426CC6">
        <w:rPr>
          <w:sz w:val="18"/>
          <w:szCs w:val="18"/>
        </w:rPr>
        <w:tab/>
        <w:t>(i)  fiscal operations;</w:t>
      </w:r>
    </w:p>
    <w:p w14:paraId="0FB85FED" w14:textId="48E2D87B" w:rsidR="005576D0" w:rsidRPr="00426CC6" w:rsidRDefault="005576D0" w:rsidP="005576D0">
      <w:pPr>
        <w:widowControl/>
        <w:suppressAutoHyphens/>
        <w:rPr>
          <w:sz w:val="18"/>
          <w:szCs w:val="18"/>
        </w:rPr>
      </w:pPr>
      <w:r w:rsidRPr="00426CC6">
        <w:rPr>
          <w:sz w:val="18"/>
          <w:szCs w:val="18"/>
        </w:rPr>
        <w:tab/>
        <w:t>(ii)  the terms, conditions, attachments, scope of work, and performance requirements of the grant agreement;</w:t>
      </w:r>
    </w:p>
    <w:p w14:paraId="2F44CE0E" w14:textId="67818818" w:rsidR="005576D0" w:rsidRPr="00426CC6" w:rsidRDefault="005576D0" w:rsidP="005576D0">
      <w:pPr>
        <w:widowControl/>
        <w:suppressAutoHyphens/>
        <w:rPr>
          <w:sz w:val="18"/>
          <w:szCs w:val="18"/>
        </w:rPr>
      </w:pPr>
      <w:r w:rsidRPr="00426CC6">
        <w:rPr>
          <w:sz w:val="18"/>
          <w:szCs w:val="18"/>
        </w:rPr>
        <w:tab/>
        <w:t>(iii)  announced and unannounced site visits;</w:t>
      </w:r>
    </w:p>
    <w:p w14:paraId="7DA1C972" w14:textId="6F4EE233" w:rsidR="005576D0" w:rsidRPr="00426CC6" w:rsidRDefault="005576D0" w:rsidP="005576D0">
      <w:pPr>
        <w:widowControl/>
        <w:suppressAutoHyphens/>
        <w:rPr>
          <w:sz w:val="18"/>
          <w:szCs w:val="18"/>
        </w:rPr>
      </w:pPr>
      <w:r w:rsidRPr="00426CC6">
        <w:rPr>
          <w:sz w:val="18"/>
          <w:szCs w:val="18"/>
        </w:rPr>
        <w:tab/>
        <w:t>(iv)  desk audit;</w:t>
      </w:r>
    </w:p>
    <w:p w14:paraId="42BA1CDD" w14:textId="4048A46E" w:rsidR="005576D0" w:rsidRPr="00426CC6" w:rsidRDefault="005576D0" w:rsidP="005576D0">
      <w:pPr>
        <w:widowControl/>
        <w:suppressAutoHyphens/>
        <w:rPr>
          <w:sz w:val="18"/>
          <w:szCs w:val="18"/>
        </w:rPr>
      </w:pPr>
      <w:r w:rsidRPr="00426CC6">
        <w:rPr>
          <w:sz w:val="18"/>
          <w:szCs w:val="18"/>
        </w:rPr>
        <w:tab/>
        <w:t>(v)  third party monitoring;</w:t>
      </w:r>
    </w:p>
    <w:p w14:paraId="78F22D43" w14:textId="3DD8EB00" w:rsidR="005576D0" w:rsidRPr="00426CC6" w:rsidRDefault="005576D0" w:rsidP="005576D0">
      <w:pPr>
        <w:widowControl/>
        <w:suppressAutoHyphens/>
        <w:rPr>
          <w:sz w:val="18"/>
          <w:szCs w:val="18"/>
        </w:rPr>
      </w:pPr>
      <w:r w:rsidRPr="00426CC6">
        <w:rPr>
          <w:sz w:val="18"/>
          <w:szCs w:val="18"/>
        </w:rPr>
        <w:tab/>
        <w:t>(vi)  expenditure document review; and</w:t>
      </w:r>
    </w:p>
    <w:p w14:paraId="7DBF6184" w14:textId="45BC2D13" w:rsidR="005576D0" w:rsidRPr="00426CC6" w:rsidRDefault="005576D0" w:rsidP="005576D0">
      <w:pPr>
        <w:widowControl/>
        <w:suppressAutoHyphens/>
        <w:rPr>
          <w:sz w:val="18"/>
          <w:szCs w:val="18"/>
        </w:rPr>
      </w:pPr>
      <w:r w:rsidRPr="00426CC6">
        <w:rPr>
          <w:sz w:val="18"/>
          <w:szCs w:val="18"/>
        </w:rPr>
        <w:tab/>
        <w:t>(vii)  video or phone conferencing.</w:t>
      </w:r>
    </w:p>
    <w:p w14:paraId="320D00A9" w14:textId="5F1A1614" w:rsidR="005576D0" w:rsidRPr="00426CC6" w:rsidRDefault="005576D0" w:rsidP="005576D0">
      <w:pPr>
        <w:widowControl/>
        <w:suppressAutoHyphens/>
        <w:rPr>
          <w:sz w:val="18"/>
          <w:szCs w:val="18"/>
        </w:rPr>
      </w:pPr>
      <w:r w:rsidRPr="00426CC6">
        <w:rPr>
          <w:sz w:val="18"/>
          <w:szCs w:val="18"/>
        </w:rPr>
        <w:tab/>
        <w:t>(b)  Onsite monitoring will take place during normal business hours.</w:t>
      </w:r>
    </w:p>
    <w:p w14:paraId="07362FB7" w14:textId="26AA1FF8" w:rsidR="005576D0" w:rsidRPr="00426CC6" w:rsidRDefault="005576D0" w:rsidP="005576D0">
      <w:pPr>
        <w:widowControl/>
        <w:suppressAutoHyphens/>
        <w:rPr>
          <w:sz w:val="18"/>
          <w:szCs w:val="18"/>
        </w:rPr>
      </w:pPr>
      <w:r w:rsidRPr="00426CC6">
        <w:rPr>
          <w:sz w:val="18"/>
          <w:szCs w:val="18"/>
        </w:rPr>
        <w:tab/>
        <w:t>(c)  If the department determines a grant recipient is not in compliance with the grant agreement, the recipient may be placed on a performance improvement plan or the agreement may be terminated in accordance with the terms of the grant agreement.</w:t>
      </w:r>
    </w:p>
    <w:p w14:paraId="44D1331B" w14:textId="6799224A" w:rsidR="005576D0" w:rsidRPr="00426CC6" w:rsidRDefault="005576D0" w:rsidP="005576D0">
      <w:pPr>
        <w:widowControl/>
        <w:suppressAutoHyphens/>
        <w:rPr>
          <w:sz w:val="18"/>
          <w:szCs w:val="18"/>
        </w:rPr>
      </w:pPr>
      <w:r w:rsidRPr="00426CC6">
        <w:rPr>
          <w:sz w:val="18"/>
          <w:szCs w:val="18"/>
        </w:rPr>
        <w:tab/>
        <w:t>(d)  If a grant recipient fails to comply with a performance improvement plan, the recipient may be ineligible to receive additional reimbursements or future grant funding.</w:t>
      </w:r>
    </w:p>
    <w:p w14:paraId="28A2726B" w14:textId="77777777" w:rsidR="005576D0" w:rsidRPr="00426CC6" w:rsidRDefault="005576D0" w:rsidP="005576D0">
      <w:pPr>
        <w:widowControl/>
        <w:suppressAutoHyphens/>
        <w:rPr>
          <w:sz w:val="18"/>
          <w:szCs w:val="18"/>
        </w:rPr>
      </w:pPr>
      <w:r w:rsidRPr="00426CC6">
        <w:rPr>
          <w:sz w:val="18"/>
          <w:szCs w:val="18"/>
        </w:rPr>
        <w:tab/>
        <w:t>(3)  A grant recipient may receive a grant under this section for no longer than three years.</w:t>
      </w:r>
    </w:p>
    <w:p w14:paraId="7B0C4404" w14:textId="77777777" w:rsidR="005576D0" w:rsidRPr="00426CC6" w:rsidRDefault="005576D0" w:rsidP="005576D0">
      <w:pPr>
        <w:widowControl/>
        <w:suppressAutoHyphens/>
        <w:rPr>
          <w:sz w:val="18"/>
          <w:szCs w:val="18"/>
        </w:rPr>
      </w:pPr>
    </w:p>
    <w:p w14:paraId="209A42CB" w14:textId="495C6CFE" w:rsidR="005576D0" w:rsidRPr="00426CC6" w:rsidRDefault="005576D0" w:rsidP="005576D0">
      <w:pPr>
        <w:widowControl/>
        <w:suppressAutoHyphens/>
        <w:rPr>
          <w:sz w:val="18"/>
          <w:szCs w:val="18"/>
        </w:rPr>
      </w:pPr>
      <w:r w:rsidRPr="00426CC6">
        <w:rPr>
          <w:b/>
          <w:bCs/>
          <w:sz w:val="18"/>
          <w:szCs w:val="18"/>
        </w:rPr>
        <w:t>R955-100-300.  High Quality School Readiness Grant Program.</w:t>
      </w:r>
    </w:p>
    <w:p w14:paraId="59012A9B" w14:textId="79CE231D" w:rsidR="005576D0" w:rsidRPr="00426CC6" w:rsidRDefault="005576D0" w:rsidP="005576D0">
      <w:pPr>
        <w:widowControl/>
        <w:suppressAutoHyphens/>
        <w:rPr>
          <w:sz w:val="18"/>
          <w:szCs w:val="18"/>
        </w:rPr>
      </w:pPr>
      <w:r w:rsidRPr="00426CC6">
        <w:rPr>
          <w:sz w:val="18"/>
          <w:szCs w:val="18"/>
        </w:rPr>
        <w:tab/>
        <w:t>(1)  A grant under this section shall be awarded to an eligible LEA or private provider by the department in consultation with the SRT to expand access to high quality school readiness programs for eligible students.</w:t>
      </w:r>
    </w:p>
    <w:p w14:paraId="1CCC5361" w14:textId="7425FD61" w:rsidR="005576D0" w:rsidRPr="00426CC6" w:rsidRDefault="005576D0" w:rsidP="005576D0">
      <w:pPr>
        <w:widowControl/>
        <w:suppressAutoHyphens/>
        <w:rPr>
          <w:sz w:val="18"/>
          <w:szCs w:val="18"/>
        </w:rPr>
      </w:pPr>
      <w:r w:rsidRPr="00426CC6">
        <w:rPr>
          <w:sz w:val="18"/>
          <w:szCs w:val="18"/>
        </w:rPr>
        <w:tab/>
        <w:t>(2)  During each program year, a grant recipient shall administer and report results of the assessments required in the grant agreement.</w:t>
      </w:r>
    </w:p>
    <w:p w14:paraId="65A76642" w14:textId="3C93B3BB" w:rsidR="005576D0" w:rsidRPr="00426CC6" w:rsidRDefault="005576D0" w:rsidP="005576D0">
      <w:pPr>
        <w:widowControl/>
        <w:suppressAutoHyphens/>
        <w:rPr>
          <w:sz w:val="18"/>
          <w:szCs w:val="18"/>
        </w:rPr>
      </w:pPr>
      <w:r w:rsidRPr="00426CC6">
        <w:rPr>
          <w:sz w:val="18"/>
          <w:szCs w:val="18"/>
        </w:rPr>
        <w:tab/>
        <w:t>(3)  The department shall administer and monitor a grant in accordance with department policy and procedure, and in consultation with the SRT.</w:t>
      </w:r>
    </w:p>
    <w:p w14:paraId="620AF0C1" w14:textId="0962E953" w:rsidR="005576D0" w:rsidRPr="00426CC6" w:rsidRDefault="005576D0" w:rsidP="005576D0">
      <w:pPr>
        <w:widowControl/>
        <w:suppressAutoHyphens/>
        <w:rPr>
          <w:sz w:val="18"/>
          <w:szCs w:val="18"/>
        </w:rPr>
      </w:pPr>
      <w:r w:rsidRPr="00426CC6">
        <w:rPr>
          <w:sz w:val="18"/>
          <w:szCs w:val="18"/>
        </w:rPr>
        <w:tab/>
        <w:t>(a)  Monitoring may include:</w:t>
      </w:r>
    </w:p>
    <w:p w14:paraId="58C302D7" w14:textId="329DC735" w:rsidR="005576D0" w:rsidRPr="00426CC6" w:rsidRDefault="005576D0" w:rsidP="005576D0">
      <w:pPr>
        <w:widowControl/>
        <w:suppressAutoHyphens/>
        <w:rPr>
          <w:sz w:val="18"/>
          <w:szCs w:val="18"/>
        </w:rPr>
      </w:pPr>
      <w:r w:rsidRPr="00426CC6">
        <w:rPr>
          <w:sz w:val="18"/>
          <w:szCs w:val="18"/>
        </w:rPr>
        <w:tab/>
        <w:t>(i)  fiscal operations;</w:t>
      </w:r>
    </w:p>
    <w:p w14:paraId="4C50CD11" w14:textId="36BB145D" w:rsidR="005576D0" w:rsidRPr="00426CC6" w:rsidRDefault="005576D0" w:rsidP="005576D0">
      <w:pPr>
        <w:widowControl/>
        <w:suppressAutoHyphens/>
        <w:rPr>
          <w:sz w:val="18"/>
          <w:szCs w:val="18"/>
        </w:rPr>
      </w:pPr>
      <w:r w:rsidRPr="00426CC6">
        <w:rPr>
          <w:sz w:val="18"/>
          <w:szCs w:val="18"/>
        </w:rPr>
        <w:tab/>
        <w:t>(ii)  the terms, conditions, attachments, scope of work, and performance requirements of the grant agreement;</w:t>
      </w:r>
    </w:p>
    <w:p w14:paraId="52D7F2A5" w14:textId="779BF6D4" w:rsidR="005576D0" w:rsidRPr="00426CC6" w:rsidRDefault="005576D0" w:rsidP="005576D0">
      <w:pPr>
        <w:widowControl/>
        <w:suppressAutoHyphens/>
        <w:rPr>
          <w:sz w:val="18"/>
          <w:szCs w:val="18"/>
        </w:rPr>
      </w:pPr>
      <w:r w:rsidRPr="00426CC6">
        <w:rPr>
          <w:sz w:val="18"/>
          <w:szCs w:val="18"/>
        </w:rPr>
        <w:tab/>
        <w:t>(iii)  announced and unannounced site visits;</w:t>
      </w:r>
    </w:p>
    <w:p w14:paraId="41848C3E" w14:textId="35592D1C" w:rsidR="005576D0" w:rsidRPr="00426CC6" w:rsidRDefault="005576D0" w:rsidP="005576D0">
      <w:pPr>
        <w:widowControl/>
        <w:suppressAutoHyphens/>
        <w:rPr>
          <w:sz w:val="18"/>
          <w:szCs w:val="18"/>
        </w:rPr>
      </w:pPr>
      <w:r w:rsidRPr="00426CC6">
        <w:rPr>
          <w:sz w:val="18"/>
          <w:szCs w:val="18"/>
        </w:rPr>
        <w:tab/>
        <w:t>(iv)  desk audit;</w:t>
      </w:r>
    </w:p>
    <w:p w14:paraId="1504FA5F" w14:textId="39245C05" w:rsidR="005576D0" w:rsidRPr="00426CC6" w:rsidRDefault="005576D0" w:rsidP="005576D0">
      <w:pPr>
        <w:widowControl/>
        <w:suppressAutoHyphens/>
        <w:rPr>
          <w:sz w:val="18"/>
          <w:szCs w:val="18"/>
        </w:rPr>
      </w:pPr>
      <w:r w:rsidRPr="00426CC6">
        <w:rPr>
          <w:sz w:val="18"/>
          <w:szCs w:val="18"/>
        </w:rPr>
        <w:tab/>
        <w:t>(v)  third party monitoring;</w:t>
      </w:r>
    </w:p>
    <w:p w14:paraId="7B05CBCD" w14:textId="42EB0548" w:rsidR="005576D0" w:rsidRPr="00426CC6" w:rsidRDefault="005576D0" w:rsidP="005576D0">
      <w:pPr>
        <w:widowControl/>
        <w:suppressAutoHyphens/>
        <w:rPr>
          <w:sz w:val="18"/>
          <w:szCs w:val="18"/>
        </w:rPr>
      </w:pPr>
      <w:r w:rsidRPr="00426CC6">
        <w:rPr>
          <w:sz w:val="18"/>
          <w:szCs w:val="18"/>
        </w:rPr>
        <w:tab/>
        <w:t>(vi)  expenditure document review; and</w:t>
      </w:r>
    </w:p>
    <w:p w14:paraId="286867A4" w14:textId="4D367059" w:rsidR="005576D0" w:rsidRPr="00426CC6" w:rsidRDefault="005576D0" w:rsidP="005576D0">
      <w:pPr>
        <w:widowControl/>
        <w:suppressAutoHyphens/>
        <w:rPr>
          <w:sz w:val="18"/>
          <w:szCs w:val="18"/>
        </w:rPr>
      </w:pPr>
      <w:r w:rsidRPr="00426CC6">
        <w:rPr>
          <w:sz w:val="18"/>
          <w:szCs w:val="18"/>
        </w:rPr>
        <w:tab/>
        <w:t>(vii)  video or phone conferencing.</w:t>
      </w:r>
    </w:p>
    <w:p w14:paraId="485CD545" w14:textId="3C80F454" w:rsidR="005576D0" w:rsidRPr="00426CC6" w:rsidRDefault="005576D0" w:rsidP="005576D0">
      <w:pPr>
        <w:widowControl/>
        <w:suppressAutoHyphens/>
        <w:rPr>
          <w:sz w:val="18"/>
          <w:szCs w:val="18"/>
        </w:rPr>
      </w:pPr>
      <w:r w:rsidRPr="00426CC6">
        <w:rPr>
          <w:sz w:val="18"/>
          <w:szCs w:val="18"/>
        </w:rPr>
        <w:lastRenderedPageBreak/>
        <w:tab/>
        <w:t>(b)  Onsite monitoring will take place during normal business hours.</w:t>
      </w:r>
    </w:p>
    <w:p w14:paraId="29C9187B" w14:textId="7F484300" w:rsidR="005576D0" w:rsidRPr="00426CC6" w:rsidRDefault="005576D0" w:rsidP="005576D0">
      <w:pPr>
        <w:widowControl/>
        <w:suppressAutoHyphens/>
        <w:rPr>
          <w:sz w:val="18"/>
          <w:szCs w:val="18"/>
        </w:rPr>
      </w:pPr>
      <w:r w:rsidRPr="00426CC6">
        <w:rPr>
          <w:sz w:val="18"/>
          <w:szCs w:val="18"/>
        </w:rPr>
        <w:tab/>
        <w:t>(c)  If the department determines a grant recipient is not in compliance with the grant agreement, the recipient may be placed on a performance improvement plan.</w:t>
      </w:r>
    </w:p>
    <w:p w14:paraId="22BCE52D" w14:textId="123F54F5" w:rsidR="005576D0" w:rsidRPr="00426CC6" w:rsidRDefault="005576D0" w:rsidP="005576D0">
      <w:pPr>
        <w:widowControl/>
        <w:suppressAutoHyphens/>
        <w:rPr>
          <w:sz w:val="18"/>
          <w:szCs w:val="18"/>
        </w:rPr>
      </w:pPr>
      <w:r w:rsidRPr="00426CC6">
        <w:rPr>
          <w:sz w:val="18"/>
          <w:szCs w:val="18"/>
        </w:rPr>
        <w:tab/>
        <w:t>(d)  If a grant recipient fails to comply with a performance improvement plan, the recipient may be ineligible to receive additional reimbursements or future grant funding.</w:t>
      </w:r>
    </w:p>
    <w:p w14:paraId="43B0B58E" w14:textId="77777777" w:rsidR="005576D0" w:rsidRPr="00426CC6" w:rsidRDefault="005576D0" w:rsidP="005576D0">
      <w:pPr>
        <w:widowControl/>
        <w:suppressAutoHyphens/>
        <w:rPr>
          <w:sz w:val="18"/>
          <w:szCs w:val="18"/>
        </w:rPr>
      </w:pPr>
    </w:p>
    <w:p w14:paraId="6D31E9FE" w14:textId="77777777" w:rsidR="005576D0" w:rsidRPr="00426CC6" w:rsidRDefault="005576D0" w:rsidP="005576D0">
      <w:pPr>
        <w:widowControl/>
        <w:suppressAutoHyphens/>
        <w:rPr>
          <w:sz w:val="18"/>
          <w:szCs w:val="18"/>
        </w:rPr>
      </w:pPr>
      <w:r w:rsidRPr="00426CC6">
        <w:rPr>
          <w:b/>
          <w:bCs/>
          <w:sz w:val="18"/>
          <w:szCs w:val="18"/>
        </w:rPr>
        <w:t>KEY:  preschool, grant programs</w:t>
      </w:r>
    </w:p>
    <w:p w14:paraId="2EEA9435" w14:textId="22AAFB85" w:rsidR="005576D0" w:rsidRPr="00426CC6" w:rsidRDefault="005576D0" w:rsidP="005576D0">
      <w:pPr>
        <w:widowControl/>
        <w:suppressAutoHyphens/>
        <w:rPr>
          <w:sz w:val="18"/>
          <w:szCs w:val="18"/>
        </w:rPr>
      </w:pPr>
      <w:r w:rsidRPr="00426CC6">
        <w:rPr>
          <w:b/>
          <w:bCs/>
          <w:sz w:val="18"/>
          <w:szCs w:val="18"/>
        </w:rPr>
        <w:t xml:space="preserve">Date of Last Change:  </w:t>
      </w:r>
      <w:r w:rsidR="00C04DD3" w:rsidRPr="00426CC6">
        <w:rPr>
          <w:b/>
          <w:bCs/>
          <w:sz w:val="18"/>
          <w:szCs w:val="18"/>
        </w:rPr>
        <w:t xml:space="preserve">October 18, </w:t>
      </w:r>
      <w:r w:rsidRPr="00426CC6">
        <w:rPr>
          <w:b/>
          <w:bCs/>
          <w:sz w:val="18"/>
          <w:szCs w:val="18"/>
        </w:rPr>
        <w:t>2024</w:t>
      </w:r>
    </w:p>
    <w:p w14:paraId="7844947C" w14:textId="77777777" w:rsidR="005576D0" w:rsidRPr="00426CC6" w:rsidRDefault="005576D0" w:rsidP="005576D0">
      <w:pPr>
        <w:widowControl/>
        <w:suppressAutoHyphens/>
        <w:rPr>
          <w:sz w:val="18"/>
          <w:szCs w:val="18"/>
        </w:rPr>
      </w:pPr>
      <w:r w:rsidRPr="00426CC6">
        <w:rPr>
          <w:b/>
          <w:bCs/>
          <w:sz w:val="18"/>
          <w:szCs w:val="18"/>
        </w:rPr>
        <w:t>Authorizing, and Implemented or Interpreted Law:  35A-15-301; 35A-15-302; 35A-15-303</w:t>
      </w:r>
    </w:p>
    <w:p w14:paraId="7A015413" w14:textId="77777777" w:rsidR="005576D0" w:rsidRPr="00426CC6" w:rsidRDefault="005576D0" w:rsidP="005576D0">
      <w:pPr>
        <w:widowControl/>
        <w:suppressAutoHyphens/>
        <w:rPr>
          <w:sz w:val="18"/>
        </w:rPr>
      </w:pPr>
    </w:p>
    <w:p w14:paraId="414D7079" w14:textId="6E146EFB" w:rsidR="005576D0" w:rsidRPr="00426CC6" w:rsidRDefault="005576D0" w:rsidP="005576D0">
      <w:pPr>
        <w:widowControl/>
        <w:suppressAutoHyphens/>
        <w:rPr>
          <w:sz w:val="18"/>
        </w:rPr>
      </w:pPr>
    </w:p>
    <w:sectPr w:rsidR="005576D0" w:rsidRPr="00426CC6" w:rsidSect="00426CC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96C55" w14:textId="77777777" w:rsidR="007E338A" w:rsidRDefault="007E338A" w:rsidP="00C17968">
      <w:r>
        <w:separator/>
      </w:r>
    </w:p>
  </w:endnote>
  <w:endnote w:type="continuationSeparator" w:id="0">
    <w:p w14:paraId="5F4809EA" w14:textId="77777777" w:rsidR="007E338A" w:rsidRDefault="007E338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0D6873" w14:textId="77777777" w:rsidR="007E338A" w:rsidRDefault="007E338A" w:rsidP="00C17968">
      <w:r>
        <w:separator/>
      </w:r>
    </w:p>
  </w:footnote>
  <w:footnote w:type="continuationSeparator" w:id="0">
    <w:p w14:paraId="33BD5730" w14:textId="77777777" w:rsidR="007E338A" w:rsidRDefault="007E338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2A2B"/>
    <w:rsid w:val="00027A64"/>
    <w:rsid w:val="0003198B"/>
    <w:rsid w:val="000403A0"/>
    <w:rsid w:val="00050AB6"/>
    <w:rsid w:val="0005628D"/>
    <w:rsid w:val="000604D8"/>
    <w:rsid w:val="0006193E"/>
    <w:rsid w:val="00083289"/>
    <w:rsid w:val="00086A4C"/>
    <w:rsid w:val="00092D64"/>
    <w:rsid w:val="000A63C1"/>
    <w:rsid w:val="000B0C8F"/>
    <w:rsid w:val="000B380E"/>
    <w:rsid w:val="000B6696"/>
    <w:rsid w:val="000C3C78"/>
    <w:rsid w:val="000E3175"/>
    <w:rsid w:val="000E7CDD"/>
    <w:rsid w:val="00101FCF"/>
    <w:rsid w:val="00102BB0"/>
    <w:rsid w:val="00114D31"/>
    <w:rsid w:val="00136C69"/>
    <w:rsid w:val="00136E6B"/>
    <w:rsid w:val="00140B4F"/>
    <w:rsid w:val="001518B2"/>
    <w:rsid w:val="00151B36"/>
    <w:rsid w:val="001769DF"/>
    <w:rsid w:val="0018100B"/>
    <w:rsid w:val="001B1B40"/>
    <w:rsid w:val="001C3DAB"/>
    <w:rsid w:val="001D3B2F"/>
    <w:rsid w:val="001F78BA"/>
    <w:rsid w:val="00210E2C"/>
    <w:rsid w:val="00214BA0"/>
    <w:rsid w:val="00240E58"/>
    <w:rsid w:val="00250B69"/>
    <w:rsid w:val="00253C3B"/>
    <w:rsid w:val="00256032"/>
    <w:rsid w:val="002639EB"/>
    <w:rsid w:val="00266359"/>
    <w:rsid w:val="00272D20"/>
    <w:rsid w:val="00282CAA"/>
    <w:rsid w:val="00291DCA"/>
    <w:rsid w:val="00293891"/>
    <w:rsid w:val="00296B2B"/>
    <w:rsid w:val="00297523"/>
    <w:rsid w:val="002A47DF"/>
    <w:rsid w:val="002B721A"/>
    <w:rsid w:val="002C31EE"/>
    <w:rsid w:val="002D4474"/>
    <w:rsid w:val="002D7D6E"/>
    <w:rsid w:val="002E6F38"/>
    <w:rsid w:val="002F45BF"/>
    <w:rsid w:val="003121D3"/>
    <w:rsid w:val="00316A41"/>
    <w:rsid w:val="003217E6"/>
    <w:rsid w:val="0033004C"/>
    <w:rsid w:val="00335956"/>
    <w:rsid w:val="00335AE6"/>
    <w:rsid w:val="0033622C"/>
    <w:rsid w:val="00342459"/>
    <w:rsid w:val="00373FE5"/>
    <w:rsid w:val="0037729D"/>
    <w:rsid w:val="00380D52"/>
    <w:rsid w:val="003B6116"/>
    <w:rsid w:val="003D601B"/>
    <w:rsid w:val="003E6785"/>
    <w:rsid w:val="003F64A7"/>
    <w:rsid w:val="003F6A4F"/>
    <w:rsid w:val="00402912"/>
    <w:rsid w:val="00403755"/>
    <w:rsid w:val="00414E0D"/>
    <w:rsid w:val="00426CC6"/>
    <w:rsid w:val="00430473"/>
    <w:rsid w:val="004423A3"/>
    <w:rsid w:val="00457B35"/>
    <w:rsid w:val="00462360"/>
    <w:rsid w:val="00465A08"/>
    <w:rsid w:val="00473793"/>
    <w:rsid w:val="0048026C"/>
    <w:rsid w:val="004803F6"/>
    <w:rsid w:val="004A031A"/>
    <w:rsid w:val="004B7F3B"/>
    <w:rsid w:val="004C20EA"/>
    <w:rsid w:val="004C4015"/>
    <w:rsid w:val="004D328F"/>
    <w:rsid w:val="004D431A"/>
    <w:rsid w:val="00516E14"/>
    <w:rsid w:val="00550F3B"/>
    <w:rsid w:val="00551480"/>
    <w:rsid w:val="00551EF2"/>
    <w:rsid w:val="005556D4"/>
    <w:rsid w:val="005576D0"/>
    <w:rsid w:val="00563DBC"/>
    <w:rsid w:val="0057263E"/>
    <w:rsid w:val="005732E8"/>
    <w:rsid w:val="00574132"/>
    <w:rsid w:val="00583378"/>
    <w:rsid w:val="00584A95"/>
    <w:rsid w:val="005879FB"/>
    <w:rsid w:val="00590D6C"/>
    <w:rsid w:val="00594E8B"/>
    <w:rsid w:val="005960C4"/>
    <w:rsid w:val="0059794D"/>
    <w:rsid w:val="005A463F"/>
    <w:rsid w:val="005A6E0E"/>
    <w:rsid w:val="005A7398"/>
    <w:rsid w:val="005B4EE0"/>
    <w:rsid w:val="005C024A"/>
    <w:rsid w:val="005C213E"/>
    <w:rsid w:val="005D05D8"/>
    <w:rsid w:val="005D54C8"/>
    <w:rsid w:val="005D674B"/>
    <w:rsid w:val="005D6A7E"/>
    <w:rsid w:val="005F7305"/>
    <w:rsid w:val="0060265A"/>
    <w:rsid w:val="00617D1E"/>
    <w:rsid w:val="00625BE1"/>
    <w:rsid w:val="00631C68"/>
    <w:rsid w:val="00632467"/>
    <w:rsid w:val="006431BE"/>
    <w:rsid w:val="00646433"/>
    <w:rsid w:val="00646E1C"/>
    <w:rsid w:val="006604BD"/>
    <w:rsid w:val="00660AFC"/>
    <w:rsid w:val="006661C3"/>
    <w:rsid w:val="006667C3"/>
    <w:rsid w:val="006673DC"/>
    <w:rsid w:val="00682427"/>
    <w:rsid w:val="0069040D"/>
    <w:rsid w:val="006936DF"/>
    <w:rsid w:val="006A3F24"/>
    <w:rsid w:val="006A7D14"/>
    <w:rsid w:val="006B1EDA"/>
    <w:rsid w:val="006B70AF"/>
    <w:rsid w:val="006D167F"/>
    <w:rsid w:val="0070392D"/>
    <w:rsid w:val="007047A1"/>
    <w:rsid w:val="00713104"/>
    <w:rsid w:val="00715301"/>
    <w:rsid w:val="00716F7B"/>
    <w:rsid w:val="007231FC"/>
    <w:rsid w:val="00723BDF"/>
    <w:rsid w:val="007303D5"/>
    <w:rsid w:val="00736DC2"/>
    <w:rsid w:val="00753C35"/>
    <w:rsid w:val="0075629C"/>
    <w:rsid w:val="007613E9"/>
    <w:rsid w:val="00762BDA"/>
    <w:rsid w:val="00767AAD"/>
    <w:rsid w:val="00772653"/>
    <w:rsid w:val="0077697B"/>
    <w:rsid w:val="007961EB"/>
    <w:rsid w:val="00796BA5"/>
    <w:rsid w:val="007A1FEA"/>
    <w:rsid w:val="007B6C82"/>
    <w:rsid w:val="007D0B87"/>
    <w:rsid w:val="007D1F9D"/>
    <w:rsid w:val="007D7AC5"/>
    <w:rsid w:val="007E338A"/>
    <w:rsid w:val="00813B76"/>
    <w:rsid w:val="008315F8"/>
    <w:rsid w:val="00835660"/>
    <w:rsid w:val="00840B24"/>
    <w:rsid w:val="00844B36"/>
    <w:rsid w:val="008637F2"/>
    <w:rsid w:val="00867A36"/>
    <w:rsid w:val="008705CB"/>
    <w:rsid w:val="008829AB"/>
    <w:rsid w:val="00890A1F"/>
    <w:rsid w:val="0089325D"/>
    <w:rsid w:val="008A563C"/>
    <w:rsid w:val="008B0B8A"/>
    <w:rsid w:val="008D6C4B"/>
    <w:rsid w:val="008E7D9B"/>
    <w:rsid w:val="008F18DE"/>
    <w:rsid w:val="009018F6"/>
    <w:rsid w:val="00907659"/>
    <w:rsid w:val="009174AF"/>
    <w:rsid w:val="009226D8"/>
    <w:rsid w:val="00922D61"/>
    <w:rsid w:val="00923B38"/>
    <w:rsid w:val="009279FD"/>
    <w:rsid w:val="0095043B"/>
    <w:rsid w:val="009510CD"/>
    <w:rsid w:val="00964E49"/>
    <w:rsid w:val="0099724C"/>
    <w:rsid w:val="009A2A78"/>
    <w:rsid w:val="009B5790"/>
    <w:rsid w:val="009C0017"/>
    <w:rsid w:val="009C2A6A"/>
    <w:rsid w:val="009E5ABD"/>
    <w:rsid w:val="00A0145C"/>
    <w:rsid w:val="00A01538"/>
    <w:rsid w:val="00A147F2"/>
    <w:rsid w:val="00A2194C"/>
    <w:rsid w:val="00A2684B"/>
    <w:rsid w:val="00A41D37"/>
    <w:rsid w:val="00A52209"/>
    <w:rsid w:val="00A6312E"/>
    <w:rsid w:val="00A7549C"/>
    <w:rsid w:val="00A93EFE"/>
    <w:rsid w:val="00A952B8"/>
    <w:rsid w:val="00AA649A"/>
    <w:rsid w:val="00AB0BE0"/>
    <w:rsid w:val="00AB3294"/>
    <w:rsid w:val="00AB5714"/>
    <w:rsid w:val="00AC2734"/>
    <w:rsid w:val="00AC60A3"/>
    <w:rsid w:val="00AD5BF8"/>
    <w:rsid w:val="00AF1519"/>
    <w:rsid w:val="00B0160D"/>
    <w:rsid w:val="00B01793"/>
    <w:rsid w:val="00B038FB"/>
    <w:rsid w:val="00B05550"/>
    <w:rsid w:val="00B055B3"/>
    <w:rsid w:val="00B132A1"/>
    <w:rsid w:val="00B1423E"/>
    <w:rsid w:val="00B307C5"/>
    <w:rsid w:val="00B32431"/>
    <w:rsid w:val="00B33858"/>
    <w:rsid w:val="00B356B3"/>
    <w:rsid w:val="00B35FD4"/>
    <w:rsid w:val="00B41350"/>
    <w:rsid w:val="00B606F6"/>
    <w:rsid w:val="00B61024"/>
    <w:rsid w:val="00B62A8D"/>
    <w:rsid w:val="00B67C05"/>
    <w:rsid w:val="00B818B3"/>
    <w:rsid w:val="00B974B0"/>
    <w:rsid w:val="00BA02EA"/>
    <w:rsid w:val="00BC5E52"/>
    <w:rsid w:val="00BD38D5"/>
    <w:rsid w:val="00BE6E0F"/>
    <w:rsid w:val="00C04DD3"/>
    <w:rsid w:val="00C07C48"/>
    <w:rsid w:val="00C17425"/>
    <w:rsid w:val="00C17968"/>
    <w:rsid w:val="00C17B64"/>
    <w:rsid w:val="00C2383B"/>
    <w:rsid w:val="00C263A9"/>
    <w:rsid w:val="00C339A4"/>
    <w:rsid w:val="00C4256B"/>
    <w:rsid w:val="00C42A03"/>
    <w:rsid w:val="00C475B6"/>
    <w:rsid w:val="00C7075A"/>
    <w:rsid w:val="00C864C3"/>
    <w:rsid w:val="00CA2A17"/>
    <w:rsid w:val="00CA2CA7"/>
    <w:rsid w:val="00CA3018"/>
    <w:rsid w:val="00CA4226"/>
    <w:rsid w:val="00CA4306"/>
    <w:rsid w:val="00CB214B"/>
    <w:rsid w:val="00CC1DE2"/>
    <w:rsid w:val="00CC2F8D"/>
    <w:rsid w:val="00CE4429"/>
    <w:rsid w:val="00CE4EB2"/>
    <w:rsid w:val="00CF0AE2"/>
    <w:rsid w:val="00CF36B3"/>
    <w:rsid w:val="00D01884"/>
    <w:rsid w:val="00D06A99"/>
    <w:rsid w:val="00D222F2"/>
    <w:rsid w:val="00D22416"/>
    <w:rsid w:val="00D2400F"/>
    <w:rsid w:val="00D24C4D"/>
    <w:rsid w:val="00D26D4A"/>
    <w:rsid w:val="00D31690"/>
    <w:rsid w:val="00D330D2"/>
    <w:rsid w:val="00D41554"/>
    <w:rsid w:val="00D41ABA"/>
    <w:rsid w:val="00D42567"/>
    <w:rsid w:val="00D515C9"/>
    <w:rsid w:val="00D639D3"/>
    <w:rsid w:val="00D65189"/>
    <w:rsid w:val="00D66564"/>
    <w:rsid w:val="00D74F7F"/>
    <w:rsid w:val="00D76607"/>
    <w:rsid w:val="00D7747A"/>
    <w:rsid w:val="00D97919"/>
    <w:rsid w:val="00DA783E"/>
    <w:rsid w:val="00DC0B97"/>
    <w:rsid w:val="00DC51B5"/>
    <w:rsid w:val="00DD5E84"/>
    <w:rsid w:val="00DE4AAB"/>
    <w:rsid w:val="00DF3E50"/>
    <w:rsid w:val="00E06657"/>
    <w:rsid w:val="00E23021"/>
    <w:rsid w:val="00E33057"/>
    <w:rsid w:val="00E33205"/>
    <w:rsid w:val="00E33275"/>
    <w:rsid w:val="00E4705A"/>
    <w:rsid w:val="00E52C8D"/>
    <w:rsid w:val="00E536BE"/>
    <w:rsid w:val="00E61003"/>
    <w:rsid w:val="00E62DBC"/>
    <w:rsid w:val="00E71631"/>
    <w:rsid w:val="00E71E51"/>
    <w:rsid w:val="00E91C27"/>
    <w:rsid w:val="00E945AC"/>
    <w:rsid w:val="00E948EA"/>
    <w:rsid w:val="00E96725"/>
    <w:rsid w:val="00E9673F"/>
    <w:rsid w:val="00EA1A74"/>
    <w:rsid w:val="00EB0212"/>
    <w:rsid w:val="00EB1EB1"/>
    <w:rsid w:val="00EB352D"/>
    <w:rsid w:val="00EB3D35"/>
    <w:rsid w:val="00EC01D2"/>
    <w:rsid w:val="00EC7C9D"/>
    <w:rsid w:val="00EE5C66"/>
    <w:rsid w:val="00EE6D3C"/>
    <w:rsid w:val="00F0314E"/>
    <w:rsid w:val="00F06F19"/>
    <w:rsid w:val="00F1268F"/>
    <w:rsid w:val="00F136AB"/>
    <w:rsid w:val="00F17EB2"/>
    <w:rsid w:val="00F278A7"/>
    <w:rsid w:val="00F31687"/>
    <w:rsid w:val="00F35997"/>
    <w:rsid w:val="00F40EA6"/>
    <w:rsid w:val="00F42C14"/>
    <w:rsid w:val="00F65F38"/>
    <w:rsid w:val="00F700BD"/>
    <w:rsid w:val="00F712A5"/>
    <w:rsid w:val="00F72AC8"/>
    <w:rsid w:val="00F87DE9"/>
    <w:rsid w:val="00F91CB5"/>
    <w:rsid w:val="00F95ADD"/>
    <w:rsid w:val="00F96E65"/>
    <w:rsid w:val="00FC69B8"/>
    <w:rsid w:val="00FD5ED7"/>
    <w:rsid w:val="00FE6AC7"/>
    <w:rsid w:val="00FF3858"/>
    <w:rsid w:val="00FF4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685087104">
      <w:bodyDiv w:val="1"/>
      <w:marLeft w:val="0"/>
      <w:marRight w:val="0"/>
      <w:marTop w:val="0"/>
      <w:marBottom w:val="0"/>
      <w:divBdr>
        <w:top w:val="none" w:sz="0" w:space="0" w:color="auto"/>
        <w:left w:val="none" w:sz="0" w:space="0" w:color="auto"/>
        <w:bottom w:val="none" w:sz="0" w:space="0" w:color="auto"/>
        <w:right w:val="none" w:sz="0" w:space="0" w:color="auto"/>
      </w:divBdr>
    </w:div>
    <w:div w:id="214592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2E02D-4A88-4BE9-8C9F-86FD7EDC4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2024-10-21T16:23:00Z</dcterms:created>
  <dcterms:modified xsi:type="dcterms:W3CDTF">2024-10-21T16:23:00Z</dcterms:modified>
</cp:coreProperties>
</file>