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10C3" w14:textId="77777777" w:rsidR="00A36F73" w:rsidRPr="00B91198" w:rsidRDefault="00A36F73" w:rsidP="00A36F73">
      <w:pPr>
        <w:widowControl/>
        <w:shd w:val="clear" w:color="auto" w:fill="FFFFFF"/>
        <w:suppressAutoHyphens/>
        <w:autoSpaceDE/>
        <w:autoSpaceDN/>
        <w:adjustRightInd/>
        <w:rPr>
          <w:sz w:val="18"/>
          <w:szCs w:val="21"/>
        </w:rPr>
      </w:pPr>
      <w:r w:rsidRPr="00B91198">
        <w:rPr>
          <w:b/>
          <w:bCs/>
          <w:sz w:val="18"/>
          <w:szCs w:val="18"/>
        </w:rPr>
        <w:t>R21.  Government Operations, Debt Collection.</w:t>
      </w:r>
    </w:p>
    <w:p w14:paraId="20B6C3BC" w14:textId="77777777" w:rsidR="00A36F73" w:rsidRPr="00B91198" w:rsidRDefault="00A36F73" w:rsidP="00A36F73">
      <w:pPr>
        <w:widowControl/>
        <w:shd w:val="clear" w:color="auto" w:fill="FFFFFF"/>
        <w:suppressAutoHyphens/>
        <w:autoSpaceDE/>
        <w:autoSpaceDN/>
        <w:adjustRightInd/>
        <w:rPr>
          <w:sz w:val="18"/>
          <w:szCs w:val="21"/>
        </w:rPr>
      </w:pPr>
      <w:r w:rsidRPr="00B91198">
        <w:rPr>
          <w:b/>
          <w:bCs/>
          <w:sz w:val="18"/>
          <w:szCs w:val="18"/>
        </w:rPr>
        <w:t>R21-1.  Transfer of Collection Responsibility of State Agencies.</w:t>
      </w:r>
    </w:p>
    <w:p w14:paraId="1E7FD44C" w14:textId="77777777" w:rsidR="00A36F73" w:rsidRPr="00B91198" w:rsidRDefault="00A36F73" w:rsidP="00A36F73">
      <w:pPr>
        <w:widowControl/>
        <w:shd w:val="clear" w:color="auto" w:fill="FFFFFF"/>
        <w:suppressAutoHyphens/>
        <w:autoSpaceDE/>
        <w:autoSpaceDN/>
        <w:adjustRightInd/>
        <w:rPr>
          <w:bCs/>
          <w:sz w:val="18"/>
          <w:szCs w:val="18"/>
        </w:rPr>
      </w:pPr>
      <w:r w:rsidRPr="00B91198">
        <w:rPr>
          <w:b/>
          <w:bCs/>
          <w:sz w:val="18"/>
          <w:szCs w:val="18"/>
        </w:rPr>
        <w:t>R21-1-1.  Purpose.</w:t>
      </w:r>
    </w:p>
    <w:p w14:paraId="290028A6" w14:textId="439F9ABF" w:rsidR="00A36F73" w:rsidRPr="00B91198" w:rsidRDefault="00A36F73" w:rsidP="00A36F73">
      <w:pPr>
        <w:widowControl/>
        <w:shd w:val="clear" w:color="auto" w:fill="FFFFFF"/>
        <w:suppressAutoHyphens/>
        <w:autoSpaceDE/>
        <w:autoSpaceDN/>
        <w:adjustRightInd/>
        <w:rPr>
          <w:sz w:val="18"/>
          <w:szCs w:val="18"/>
        </w:rPr>
      </w:pPr>
      <w:r w:rsidRPr="00B91198">
        <w:rPr>
          <w:sz w:val="18"/>
          <w:szCs w:val="18"/>
        </w:rPr>
        <w:tab/>
        <w:t>The purpose of this rule is to establish:</w:t>
      </w:r>
    </w:p>
    <w:p w14:paraId="06243543" w14:textId="77777777" w:rsidR="00A36F73" w:rsidRPr="00B91198" w:rsidRDefault="00A36F73" w:rsidP="00A36F73">
      <w:pPr>
        <w:widowControl/>
        <w:shd w:val="clear" w:color="auto" w:fill="FFFFFF"/>
        <w:suppressAutoHyphens/>
        <w:autoSpaceDE/>
        <w:autoSpaceDN/>
        <w:adjustRightInd/>
        <w:rPr>
          <w:sz w:val="18"/>
          <w:szCs w:val="18"/>
        </w:rPr>
      </w:pPr>
      <w:r w:rsidRPr="00B91198">
        <w:rPr>
          <w:sz w:val="18"/>
          <w:szCs w:val="18"/>
        </w:rPr>
        <w:tab/>
        <w:t>(1)  collection techniques used by OSDC; and</w:t>
      </w:r>
    </w:p>
    <w:p w14:paraId="361BED5C" w14:textId="77777777"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(2)  procedures for agencies to:</w:t>
      </w:r>
    </w:p>
    <w:p w14:paraId="686DA7BA" w14:textId="5D005D70"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(a)  bill and make initial collection efforts according to a coordinated schedule;</w:t>
      </w:r>
    </w:p>
    <w:p w14:paraId="51C88B72" w14:textId="09FC7389" w:rsidR="00A36F73" w:rsidRPr="00B91198" w:rsidRDefault="00A36F73" w:rsidP="00A36F73">
      <w:pPr>
        <w:widowControl/>
        <w:shd w:val="clear" w:color="auto" w:fill="FFFFFF"/>
        <w:suppressAutoHyphens/>
        <w:autoSpaceDE/>
        <w:autoSpaceDN/>
        <w:adjustRightInd/>
        <w:jc w:val="both"/>
        <w:rPr>
          <w:sz w:val="18"/>
          <w:szCs w:val="21"/>
        </w:rPr>
      </w:pPr>
      <w:r w:rsidRPr="00B91198">
        <w:rPr>
          <w:sz w:val="18"/>
          <w:szCs w:val="18"/>
        </w:rPr>
        <w:tab/>
        <w:t>(b)  transfer their delinquent accounts receivable to OSDC for additional collection action;</w:t>
      </w:r>
    </w:p>
    <w:p w14:paraId="159A7E71" w14:textId="69784306"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(c)  write-off receivables; and</w:t>
      </w:r>
    </w:p>
    <w:p w14:paraId="62F16959" w14:textId="1180D4B2"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(d)  allocate the costs of collection established under Subsections 63A-3-502(4)(g), 63A-3-502(6)(b), Section 15-1-4, and other applicable laws.</w:t>
      </w:r>
    </w:p>
    <w:p w14:paraId="6263734A" w14:textId="77777777" w:rsidR="00A36F73" w:rsidRPr="00B91198" w:rsidRDefault="00A36F73" w:rsidP="00A36F73">
      <w:pPr>
        <w:widowControl/>
        <w:shd w:val="clear" w:color="auto" w:fill="FFFFFF"/>
        <w:suppressAutoHyphens/>
        <w:autoSpaceDE/>
        <w:autoSpaceDN/>
        <w:adjustRightInd/>
        <w:rPr>
          <w:bCs/>
          <w:sz w:val="18"/>
          <w:szCs w:val="18"/>
        </w:rPr>
      </w:pPr>
    </w:p>
    <w:p w14:paraId="1C4AD6AB" w14:textId="77777777" w:rsidR="00A36F73" w:rsidRPr="00B91198" w:rsidRDefault="00A36F73" w:rsidP="00A36F73">
      <w:pPr>
        <w:widowControl/>
        <w:shd w:val="clear" w:color="auto" w:fill="FFFFFF"/>
        <w:suppressAutoHyphens/>
        <w:autoSpaceDE/>
        <w:autoSpaceDN/>
        <w:adjustRightInd/>
        <w:rPr>
          <w:sz w:val="18"/>
          <w:szCs w:val="21"/>
        </w:rPr>
      </w:pPr>
      <w:r w:rsidRPr="00B91198">
        <w:rPr>
          <w:b/>
          <w:bCs/>
          <w:sz w:val="18"/>
          <w:szCs w:val="18"/>
        </w:rPr>
        <w:t>R21-1-2.  Authority.</w:t>
      </w:r>
    </w:p>
    <w:p w14:paraId="7E1A3077" w14:textId="166C6CAF"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This rule is established under Section 63A-3-504.</w:t>
      </w:r>
    </w:p>
    <w:p w14:paraId="4DC236F9" w14:textId="77777777" w:rsidR="00A36F73" w:rsidRPr="00B91198" w:rsidRDefault="00A36F73" w:rsidP="00A36F73">
      <w:pPr>
        <w:widowControl/>
        <w:shd w:val="clear" w:color="auto" w:fill="FFFFFF"/>
        <w:suppressAutoHyphens/>
        <w:autoSpaceDE/>
        <w:autoSpaceDN/>
        <w:adjustRightInd/>
        <w:rPr>
          <w:bCs/>
          <w:sz w:val="18"/>
          <w:szCs w:val="18"/>
        </w:rPr>
      </w:pPr>
    </w:p>
    <w:p w14:paraId="2EC3BE1B" w14:textId="77777777" w:rsidR="00A36F73" w:rsidRPr="00B91198" w:rsidRDefault="00A36F73" w:rsidP="00A36F73">
      <w:pPr>
        <w:widowControl/>
        <w:shd w:val="clear" w:color="auto" w:fill="FFFFFF"/>
        <w:suppressAutoHyphens/>
        <w:autoSpaceDE/>
        <w:autoSpaceDN/>
        <w:adjustRightInd/>
        <w:rPr>
          <w:sz w:val="18"/>
          <w:szCs w:val="21"/>
        </w:rPr>
      </w:pPr>
      <w:r w:rsidRPr="00B91198">
        <w:rPr>
          <w:b/>
          <w:bCs/>
          <w:sz w:val="18"/>
          <w:szCs w:val="18"/>
        </w:rPr>
        <w:t>R21-1-3.  Definitions.</w:t>
      </w:r>
    </w:p>
    <w:p w14:paraId="7623A120" w14:textId="58923C01" w:rsidR="00A36F73" w:rsidRPr="00B91198" w:rsidRDefault="00A36F73" w:rsidP="00A36F73">
      <w:pPr>
        <w:widowControl/>
        <w:shd w:val="clear" w:color="auto" w:fill="FFFFFF"/>
        <w:suppressAutoHyphens/>
        <w:autoSpaceDE/>
        <w:autoSpaceDN/>
        <w:adjustRightInd/>
        <w:rPr>
          <w:sz w:val="18"/>
          <w:szCs w:val="18"/>
        </w:rPr>
      </w:pPr>
      <w:r w:rsidRPr="00B91198">
        <w:rPr>
          <w:sz w:val="18"/>
          <w:szCs w:val="18"/>
        </w:rPr>
        <w:tab/>
        <w:t>(1)  "Accounts receivable" or "receivable" means the same as defined in Section 63A-3-501.</w:t>
      </w:r>
    </w:p>
    <w:p w14:paraId="4FE94D53" w14:textId="77777777" w:rsidR="00A36F73" w:rsidRPr="00B91198" w:rsidRDefault="00A36F73" w:rsidP="00A36F73">
      <w:pPr>
        <w:widowControl/>
        <w:shd w:val="clear" w:color="auto" w:fill="FFFFFF"/>
        <w:suppressAutoHyphens/>
        <w:autoSpaceDE/>
        <w:autoSpaceDN/>
        <w:adjustRightInd/>
        <w:rPr>
          <w:sz w:val="18"/>
          <w:szCs w:val="18"/>
        </w:rPr>
      </w:pPr>
      <w:r w:rsidRPr="00B91198">
        <w:rPr>
          <w:sz w:val="18"/>
          <w:szCs w:val="18"/>
        </w:rPr>
        <w:tab/>
        <w:t>(2)  "Administrative offset" means the same as defined in Section 63A-3-501.</w:t>
      </w:r>
    </w:p>
    <w:p w14:paraId="44483701" w14:textId="77777777" w:rsidR="00A36F73" w:rsidRPr="00B91198" w:rsidRDefault="00A36F73" w:rsidP="00A36F73">
      <w:pPr>
        <w:widowControl/>
        <w:shd w:val="clear" w:color="auto" w:fill="FFFFFF"/>
        <w:suppressAutoHyphens/>
        <w:autoSpaceDE/>
        <w:autoSpaceDN/>
        <w:adjustRightInd/>
        <w:rPr>
          <w:sz w:val="18"/>
          <w:szCs w:val="18"/>
        </w:rPr>
      </w:pPr>
      <w:r w:rsidRPr="00B91198">
        <w:rPr>
          <w:sz w:val="18"/>
          <w:szCs w:val="18"/>
        </w:rPr>
        <w:tab/>
        <w:t>(3)  "Criminal accounts receivable" means the same as defined in Section 63A-3-501.</w:t>
      </w:r>
    </w:p>
    <w:p w14:paraId="2172F0A4" w14:textId="77777777"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(4)  "Delinquent" means any account receivable for which the state has not received payment in full by the payment due date.</w:t>
      </w:r>
    </w:p>
    <w:p w14:paraId="51867DCC" w14:textId="77777777"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(5)  "Event" means the day that goods are purchased, services are completed, or fines, fees, and assessments are due.</w:t>
      </w:r>
    </w:p>
    <w:p w14:paraId="2F94DA1F" w14:textId="77777777" w:rsidR="00A36F73" w:rsidRPr="00B91198" w:rsidRDefault="00A36F73" w:rsidP="00A36F73">
      <w:pPr>
        <w:widowControl/>
        <w:shd w:val="clear" w:color="auto" w:fill="FFFFFF"/>
        <w:suppressAutoHyphens/>
        <w:autoSpaceDE/>
        <w:autoSpaceDN/>
        <w:adjustRightInd/>
        <w:rPr>
          <w:sz w:val="18"/>
          <w:szCs w:val="18"/>
        </w:rPr>
      </w:pPr>
      <w:r w:rsidRPr="00B91198">
        <w:rPr>
          <w:sz w:val="18"/>
          <w:szCs w:val="18"/>
        </w:rPr>
        <w:tab/>
        <w:t>(6)  "FINET" means the statewide accounting system centrally administered by the Division of Finance.</w:t>
      </w:r>
    </w:p>
    <w:p w14:paraId="7C809706" w14:textId="77777777"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(7)  "OSDC" means the Office of State Debt Collection, created under Section 63A-3-502.</w:t>
      </w:r>
    </w:p>
    <w:p w14:paraId="6C2EB11F" w14:textId="77777777" w:rsidR="00A36F73" w:rsidRPr="00B91198" w:rsidRDefault="00A36F73" w:rsidP="00A36F73">
      <w:pPr>
        <w:widowControl/>
        <w:shd w:val="clear" w:color="auto" w:fill="FFFFFF"/>
        <w:suppressAutoHyphens/>
        <w:autoSpaceDE/>
        <w:autoSpaceDN/>
        <w:adjustRightInd/>
        <w:rPr>
          <w:sz w:val="18"/>
          <w:szCs w:val="18"/>
        </w:rPr>
      </w:pPr>
      <w:r w:rsidRPr="00B91198">
        <w:rPr>
          <w:sz w:val="18"/>
          <w:szCs w:val="18"/>
        </w:rPr>
        <w:tab/>
        <w:t>(8)  "Payment due date" means the date by which the agency requires payment for the account receivable that an individual, corporation, partnership, or organization has incurred.</w:t>
      </w:r>
    </w:p>
    <w:p w14:paraId="564DDA7C" w14:textId="77777777"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(9)  "</w:t>
      </w:r>
      <w:proofErr w:type="spellStart"/>
      <w:r w:rsidRPr="00B91198">
        <w:rPr>
          <w:sz w:val="18"/>
          <w:szCs w:val="18"/>
        </w:rPr>
        <w:t>Postjudgment</w:t>
      </w:r>
      <w:proofErr w:type="spellEnd"/>
      <w:r w:rsidRPr="00B91198">
        <w:rPr>
          <w:sz w:val="18"/>
          <w:szCs w:val="18"/>
        </w:rPr>
        <w:t xml:space="preserve"> interest" means interest that is accrued according to the rate described in Subsection 15-1-4(3)(a).</w:t>
      </w:r>
    </w:p>
    <w:p w14:paraId="03C3BA5E" w14:textId="77777777" w:rsidR="00A36F73" w:rsidRPr="00B91198" w:rsidRDefault="00A36F73" w:rsidP="00A36F73">
      <w:pPr>
        <w:widowControl/>
        <w:shd w:val="clear" w:color="auto" w:fill="FFFFFF"/>
        <w:suppressAutoHyphens/>
        <w:autoSpaceDE/>
        <w:autoSpaceDN/>
        <w:adjustRightInd/>
        <w:rPr>
          <w:sz w:val="18"/>
          <w:szCs w:val="18"/>
        </w:rPr>
      </w:pPr>
      <w:r w:rsidRPr="00B91198">
        <w:rPr>
          <w:sz w:val="18"/>
          <w:szCs w:val="18"/>
        </w:rPr>
        <w:tab/>
        <w:t>(10)  "Trust" means a receivable that is owed to a victim of a crime.</w:t>
      </w:r>
    </w:p>
    <w:p w14:paraId="06D14A2B" w14:textId="77777777" w:rsidR="00A36F73" w:rsidRPr="00B91198" w:rsidRDefault="00A36F73" w:rsidP="00A36F73">
      <w:pPr>
        <w:widowControl/>
        <w:shd w:val="clear" w:color="auto" w:fill="FFFFFF"/>
        <w:suppressAutoHyphens/>
        <w:autoSpaceDE/>
        <w:autoSpaceDN/>
        <w:adjustRightInd/>
        <w:rPr>
          <w:sz w:val="18"/>
          <w:szCs w:val="18"/>
        </w:rPr>
      </w:pPr>
      <w:r w:rsidRPr="00B91198">
        <w:rPr>
          <w:sz w:val="18"/>
          <w:szCs w:val="21"/>
        </w:rPr>
        <w:tab/>
      </w:r>
      <w:r w:rsidRPr="00B91198">
        <w:rPr>
          <w:sz w:val="18"/>
          <w:szCs w:val="18"/>
        </w:rPr>
        <w:t>(11)  "Write-off" means the same as defined in Section 63A-3-501.</w:t>
      </w:r>
    </w:p>
    <w:p w14:paraId="261718EF" w14:textId="77777777" w:rsidR="00A36F73" w:rsidRPr="00B91198" w:rsidRDefault="00A36F73" w:rsidP="00A36F73">
      <w:pPr>
        <w:widowControl/>
        <w:shd w:val="clear" w:color="auto" w:fill="FFFFFF"/>
        <w:suppressAutoHyphens/>
        <w:autoSpaceDE/>
        <w:autoSpaceDN/>
        <w:adjustRightInd/>
        <w:rPr>
          <w:bCs/>
          <w:sz w:val="18"/>
          <w:szCs w:val="18"/>
        </w:rPr>
      </w:pPr>
    </w:p>
    <w:p w14:paraId="5F243CF9" w14:textId="77777777" w:rsidR="00A36F73" w:rsidRPr="00B91198" w:rsidRDefault="00A36F73" w:rsidP="00A36F73">
      <w:pPr>
        <w:widowControl/>
        <w:shd w:val="clear" w:color="auto" w:fill="FFFFFF"/>
        <w:suppressAutoHyphens/>
        <w:autoSpaceDE/>
        <w:autoSpaceDN/>
        <w:adjustRightInd/>
        <w:rPr>
          <w:sz w:val="18"/>
          <w:szCs w:val="21"/>
        </w:rPr>
      </w:pPr>
      <w:r w:rsidRPr="00B91198">
        <w:rPr>
          <w:b/>
          <w:bCs/>
          <w:sz w:val="18"/>
          <w:szCs w:val="18"/>
        </w:rPr>
        <w:t>R21-1-4.  Agency Billing and Collection Responsibility.</w:t>
      </w:r>
    </w:p>
    <w:p w14:paraId="0C44067C" w14:textId="753C744D"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(1)  Each agency shall document and track agency each receivable in FINET.</w:t>
      </w:r>
    </w:p>
    <w:p w14:paraId="28B97759" w14:textId="5044754D"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(a)  An agency may request an exemption from using FINET from the Division of Finance and OSDC.</w:t>
      </w:r>
    </w:p>
    <w:p w14:paraId="6E2462ED" w14:textId="77777777"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(b)  An agency exempted under this section shall:</w:t>
      </w:r>
    </w:p>
    <w:p w14:paraId="04F416E3" w14:textId="6C64F689"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(i)  track each receivable in the agency's system;</w:t>
      </w:r>
    </w:p>
    <w:p w14:paraId="231EAE73" w14:textId="1B916C5F"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(ii)  provide OSDC with a receivable report each month that contains the information described in Subsection 63A-3-502(7)(g); and</w:t>
      </w:r>
    </w:p>
    <w:p w14:paraId="6B173D27" w14:textId="710937F4"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(iii)  provide each receivable report within 45 days after the quarter ends.</w:t>
      </w:r>
    </w:p>
    <w:p w14:paraId="7591F707" w14:textId="09B47EBC" w:rsidR="00A36F73" w:rsidRPr="00B91198" w:rsidRDefault="00A36F73" w:rsidP="00A36F73">
      <w:pPr>
        <w:widowControl/>
        <w:shd w:val="clear" w:color="auto" w:fill="FFFFFF"/>
        <w:suppressAutoHyphens/>
        <w:autoSpaceDE/>
        <w:autoSpaceDN/>
        <w:adjustRightInd/>
        <w:rPr>
          <w:sz w:val="18"/>
          <w:szCs w:val="18"/>
        </w:rPr>
      </w:pPr>
      <w:r w:rsidRPr="00B91198">
        <w:rPr>
          <w:sz w:val="18"/>
          <w:szCs w:val="18"/>
        </w:rPr>
        <w:tab/>
        <w:t>(2)  A customer shall be billed:</w:t>
      </w:r>
    </w:p>
    <w:p w14:paraId="7BBEBD1A" w14:textId="6C6EA5C5" w:rsidR="00A36F73" w:rsidRPr="00B91198" w:rsidRDefault="00A36F73" w:rsidP="00A36F73">
      <w:pPr>
        <w:widowControl/>
        <w:shd w:val="clear" w:color="auto" w:fill="FFFFFF"/>
        <w:suppressAutoHyphens/>
        <w:autoSpaceDE/>
        <w:autoSpaceDN/>
        <w:adjustRightInd/>
        <w:rPr>
          <w:sz w:val="18"/>
          <w:szCs w:val="18"/>
        </w:rPr>
      </w:pPr>
      <w:r w:rsidRPr="00B91198">
        <w:rPr>
          <w:sz w:val="18"/>
          <w:szCs w:val="18"/>
        </w:rPr>
        <w:tab/>
        <w:t>(a)  within 10 days from the event that created the receivable; or</w:t>
      </w:r>
    </w:p>
    <w:p w14:paraId="5F698E7F" w14:textId="35D1E37C"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(b)  if the event is recurring, within the next billing cycle.</w:t>
      </w:r>
    </w:p>
    <w:p w14:paraId="6F8C884F" w14:textId="21BE1786"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(3)  The payment due date shall be within 30 days of the event date unless the agency can show that this timeframe does not meet its business needs.</w:t>
      </w:r>
    </w:p>
    <w:p w14:paraId="7D56274C" w14:textId="55E5D929"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(4)  If payment is not received within 10 days after the payment due date, the agency shall contact the customer for payment by phone or written notice.</w:t>
      </w:r>
    </w:p>
    <w:p w14:paraId="6D2E7E53" w14:textId="50B9B391"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(5)  Each agency shall review and comply with the statewide accounting policies for receivables, which are available on the Division of Finance website, finance.utah.gov.</w:t>
      </w:r>
    </w:p>
    <w:p w14:paraId="2BB12FC3" w14:textId="77777777" w:rsidR="00A36F73" w:rsidRPr="00B91198" w:rsidRDefault="00A36F73" w:rsidP="00A36F73">
      <w:pPr>
        <w:widowControl/>
        <w:shd w:val="clear" w:color="auto" w:fill="FFFFFF"/>
        <w:suppressAutoHyphens/>
        <w:autoSpaceDE/>
        <w:autoSpaceDN/>
        <w:adjustRightInd/>
        <w:rPr>
          <w:bCs/>
          <w:sz w:val="18"/>
          <w:szCs w:val="18"/>
        </w:rPr>
      </w:pPr>
    </w:p>
    <w:p w14:paraId="47821E30" w14:textId="77777777" w:rsidR="00A36F73" w:rsidRPr="00B91198" w:rsidRDefault="00A36F73" w:rsidP="00A36F73">
      <w:pPr>
        <w:widowControl/>
        <w:shd w:val="clear" w:color="auto" w:fill="FFFFFF"/>
        <w:suppressAutoHyphens/>
        <w:autoSpaceDE/>
        <w:autoSpaceDN/>
        <w:adjustRightInd/>
        <w:rPr>
          <w:sz w:val="18"/>
          <w:szCs w:val="21"/>
        </w:rPr>
      </w:pPr>
      <w:r w:rsidRPr="00B91198">
        <w:rPr>
          <w:b/>
          <w:bCs/>
          <w:sz w:val="18"/>
          <w:szCs w:val="18"/>
        </w:rPr>
        <w:t>R21-1-5.  Transfer of Collection Responsibility.</w:t>
      </w:r>
    </w:p>
    <w:p w14:paraId="65CCE2D0" w14:textId="67FB2E49"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(1)  An agency with any delinquent account shall comply with Subsection 63A-3-502(7) unless not allowed by current state or federal statute or regulation.</w:t>
      </w:r>
    </w:p>
    <w:p w14:paraId="00263B6E" w14:textId="2A2BA00E" w:rsidR="00A36F73" w:rsidRPr="00B91198" w:rsidRDefault="00A36F73" w:rsidP="00A36F73">
      <w:pPr>
        <w:widowControl/>
        <w:shd w:val="clear" w:color="auto" w:fill="FFFFFF"/>
        <w:suppressAutoHyphens/>
        <w:autoSpaceDE/>
        <w:autoSpaceDN/>
        <w:adjustRightInd/>
        <w:rPr>
          <w:sz w:val="18"/>
          <w:szCs w:val="18"/>
        </w:rPr>
      </w:pPr>
      <w:r w:rsidRPr="00B91198">
        <w:rPr>
          <w:sz w:val="18"/>
          <w:szCs w:val="18"/>
        </w:rPr>
        <w:tab/>
        <w:t>(2)  An agency or user of services shall transfer collection responsibility to OSDC if the account receivable:</w:t>
      </w:r>
    </w:p>
    <w:p w14:paraId="55C293B9" w14:textId="77777777" w:rsidR="00A36F73" w:rsidRPr="00B91198" w:rsidRDefault="00A36F73" w:rsidP="00A36F73">
      <w:pPr>
        <w:widowControl/>
        <w:shd w:val="clear" w:color="auto" w:fill="FFFFFF"/>
        <w:suppressAutoHyphens/>
        <w:autoSpaceDE/>
        <w:autoSpaceDN/>
        <w:adjustRightInd/>
        <w:rPr>
          <w:sz w:val="18"/>
          <w:szCs w:val="18"/>
        </w:rPr>
      </w:pPr>
      <w:r w:rsidRPr="00B91198">
        <w:rPr>
          <w:sz w:val="18"/>
          <w:szCs w:val="18"/>
        </w:rPr>
        <w:tab/>
        <w:t>(a)  is not paid within 90 days of the initial billing; or</w:t>
      </w:r>
    </w:p>
    <w:p w14:paraId="24A9F2DB" w14:textId="77777777"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(b)  is delinquent 61 days.</w:t>
      </w:r>
    </w:p>
    <w:p w14:paraId="26D68AD6" w14:textId="56BD38DC"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(3)  An agency may negotiate a different receivable transfer date with OSDC by explaining how the state would benefit from the negotiated transfer date.</w:t>
      </w:r>
    </w:p>
    <w:p w14:paraId="0F98EDF7" w14:textId="77777777" w:rsidR="00A36F73" w:rsidRPr="00B91198" w:rsidRDefault="00A36F73" w:rsidP="00A36F73">
      <w:pPr>
        <w:widowControl/>
        <w:shd w:val="clear" w:color="auto" w:fill="FFFFFF"/>
        <w:suppressAutoHyphens/>
        <w:autoSpaceDE/>
        <w:autoSpaceDN/>
        <w:adjustRightInd/>
        <w:rPr>
          <w:bCs/>
          <w:sz w:val="18"/>
          <w:szCs w:val="18"/>
        </w:rPr>
      </w:pPr>
    </w:p>
    <w:p w14:paraId="78EDD560" w14:textId="77777777" w:rsidR="00A36F73" w:rsidRPr="00B91198" w:rsidRDefault="00A36F73" w:rsidP="00A36F73">
      <w:pPr>
        <w:widowControl/>
        <w:shd w:val="clear" w:color="auto" w:fill="FFFFFF"/>
        <w:suppressAutoHyphens/>
        <w:autoSpaceDE/>
        <w:autoSpaceDN/>
        <w:adjustRightInd/>
        <w:rPr>
          <w:sz w:val="18"/>
          <w:szCs w:val="21"/>
        </w:rPr>
      </w:pPr>
      <w:r w:rsidRPr="00B91198">
        <w:rPr>
          <w:b/>
          <w:bCs/>
          <w:sz w:val="18"/>
          <w:szCs w:val="18"/>
        </w:rPr>
        <w:t>R21-1-6.  Format for Transfer of Accounts Receivable Data.</w:t>
      </w:r>
    </w:p>
    <w:p w14:paraId="571FAA00" w14:textId="1565E79B"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(1)  An agency shall transfer any delinquent account to OSDC electronically through FINET.</w:t>
      </w:r>
    </w:p>
    <w:p w14:paraId="74C9B204" w14:textId="2D04D36D"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(2)  An agency exempted from using FINET for individual receivables shall work with OSDC to generate an electronic placement file for transferring the delinquent account.</w:t>
      </w:r>
    </w:p>
    <w:p w14:paraId="78BF327E" w14:textId="2D2FD2C5"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(3)  An agency transferring a delinquent account must also provide:</w:t>
      </w:r>
    </w:p>
    <w:p w14:paraId="5A011378" w14:textId="35839251"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lastRenderedPageBreak/>
        <w:tab/>
        <w:t>(a)  personally identifiable information for each liable party; and</w:t>
      </w:r>
    </w:p>
    <w:p w14:paraId="7654BAA2" w14:textId="13911012"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(b)  if available, a federal tax identification number for each liable party.</w:t>
      </w:r>
    </w:p>
    <w:p w14:paraId="2B88C31A" w14:textId="77777777" w:rsidR="00A36F73" w:rsidRPr="00B91198" w:rsidRDefault="00A36F73" w:rsidP="00A36F73">
      <w:pPr>
        <w:widowControl/>
        <w:shd w:val="clear" w:color="auto" w:fill="FFFFFF"/>
        <w:suppressAutoHyphens/>
        <w:autoSpaceDE/>
        <w:autoSpaceDN/>
        <w:adjustRightInd/>
        <w:rPr>
          <w:bCs/>
          <w:sz w:val="18"/>
          <w:szCs w:val="18"/>
        </w:rPr>
      </w:pPr>
    </w:p>
    <w:p w14:paraId="38B185CD" w14:textId="3F224E38" w:rsidR="00A36F73" w:rsidRPr="00B91198" w:rsidRDefault="00A36F73" w:rsidP="00A36F73">
      <w:pPr>
        <w:widowControl/>
        <w:shd w:val="clear" w:color="auto" w:fill="FFFFFF"/>
        <w:suppressAutoHyphens/>
        <w:autoSpaceDE/>
        <w:autoSpaceDN/>
        <w:adjustRightInd/>
        <w:rPr>
          <w:sz w:val="18"/>
          <w:szCs w:val="21"/>
        </w:rPr>
      </w:pPr>
      <w:r w:rsidRPr="00B91198">
        <w:rPr>
          <w:b/>
          <w:bCs/>
          <w:sz w:val="18"/>
          <w:szCs w:val="18"/>
        </w:rPr>
        <w:t>R21-1-7.  Interest and Fees.</w:t>
      </w:r>
    </w:p>
    <w:p w14:paraId="3E2B713F" w14:textId="221F7F5B"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(1)  Subsection 63A-3-502(4)(g) authorizes OSDC to assess and collect interest and fees. Interest and fee calculation and payment priority for accounts receivable collected by OSDC shall be applied according to the following methodology, except as specified in Subsections R21-1-10(2) and R21-1-10(3):</w:t>
      </w:r>
    </w:p>
    <w:p w14:paraId="23A4466B" w14:textId="2D6584B3"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(2)  A fee that covers the administrative costs of collection shall be charged on each account referred for collection. This fee is called the collection fee.</w:t>
      </w:r>
    </w:p>
    <w:p w14:paraId="702E4A1D" w14:textId="0371517E"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(a)  The cost of this fee shall be calculated as a percent of the sum of the receivable balance referred for collection plus the late penalty described in Subsection R21-1-7(3).</w:t>
      </w:r>
    </w:p>
    <w:p w14:paraId="3ADE332C" w14:textId="7133E5C4" w:rsidR="00A36F73" w:rsidRPr="00B91198" w:rsidRDefault="00A36F73" w:rsidP="00A36F73">
      <w:pPr>
        <w:widowControl/>
        <w:shd w:val="clear" w:color="auto" w:fill="FFFFFF"/>
        <w:suppressAutoHyphens/>
        <w:autoSpaceDE/>
        <w:autoSpaceDN/>
        <w:adjustRightInd/>
        <w:rPr>
          <w:sz w:val="18"/>
          <w:szCs w:val="18"/>
        </w:rPr>
      </w:pPr>
      <w:r w:rsidRPr="00B91198">
        <w:rPr>
          <w:sz w:val="18"/>
          <w:szCs w:val="18"/>
        </w:rPr>
        <w:tab/>
        <w:t>(b)  This fee shall be paid first from each payment, up to a percentage determined by OSDC.</w:t>
      </w:r>
    </w:p>
    <w:p w14:paraId="795DE38A" w14:textId="77777777"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(c)  The collection fee accrues on the unpaid principal balance of the receivable.</w:t>
      </w:r>
    </w:p>
    <w:p w14:paraId="21EF2D0E" w14:textId="4CB06277"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(3)  A late penalty fee as described in Subsection 63A-3-502(4)(g)(ii) shall be calculated as a percent of the receivable balance referred for collection.</w:t>
      </w:r>
    </w:p>
    <w:p w14:paraId="6FA038BE" w14:textId="77777777"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(a)  Two percent of each payment shall be applied to the outstanding penalty until the penalty is paid in full.</w:t>
      </w:r>
    </w:p>
    <w:p w14:paraId="53273F18" w14:textId="23817731"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(b)  The calculated penalty amount shall be paid after the collection fee is determined and paid.</w:t>
      </w:r>
    </w:p>
    <w:p w14:paraId="23AC6B24" w14:textId="2E8D8966"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 xml:space="preserve">(4)  Two types of interest shall be charged on each account referred to OSDC: </w:t>
      </w:r>
      <w:proofErr w:type="spellStart"/>
      <w:r w:rsidRPr="00B91198">
        <w:rPr>
          <w:sz w:val="18"/>
          <w:szCs w:val="18"/>
        </w:rPr>
        <w:t>postjudgment</w:t>
      </w:r>
      <w:proofErr w:type="spellEnd"/>
      <w:r w:rsidRPr="00B91198">
        <w:rPr>
          <w:sz w:val="18"/>
          <w:szCs w:val="18"/>
        </w:rPr>
        <w:t xml:space="preserve"> interest and OSDC interest.</w:t>
      </w:r>
    </w:p>
    <w:p w14:paraId="2896FB61" w14:textId="4F2481BA"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 xml:space="preserve">(a)  </w:t>
      </w:r>
      <w:proofErr w:type="spellStart"/>
      <w:r w:rsidRPr="00B91198">
        <w:rPr>
          <w:sz w:val="18"/>
          <w:szCs w:val="18"/>
        </w:rPr>
        <w:t>Postjudgment</w:t>
      </w:r>
      <w:proofErr w:type="spellEnd"/>
      <w:r w:rsidRPr="00B91198">
        <w:rPr>
          <w:sz w:val="18"/>
          <w:szCs w:val="18"/>
        </w:rPr>
        <w:t xml:space="preserve"> interest applies to a receivable with a judgment established by the courts.</w:t>
      </w:r>
    </w:p>
    <w:p w14:paraId="43366DAA" w14:textId="46919A9B"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 xml:space="preserve">(i)  </w:t>
      </w:r>
      <w:proofErr w:type="spellStart"/>
      <w:r w:rsidRPr="00B91198">
        <w:rPr>
          <w:sz w:val="18"/>
          <w:szCs w:val="18"/>
        </w:rPr>
        <w:t>Postjudgment</w:t>
      </w:r>
      <w:proofErr w:type="spellEnd"/>
      <w:r w:rsidRPr="00B91198">
        <w:rPr>
          <w:sz w:val="18"/>
          <w:szCs w:val="18"/>
        </w:rPr>
        <w:t xml:space="preserve"> interest accrues on the unpaid principal balance of the receivable.</w:t>
      </w:r>
    </w:p>
    <w:p w14:paraId="1A19D9CB" w14:textId="11C3BF02"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 xml:space="preserve">(ii)  </w:t>
      </w:r>
      <w:proofErr w:type="spellStart"/>
      <w:r w:rsidRPr="00B91198">
        <w:rPr>
          <w:sz w:val="18"/>
          <w:szCs w:val="18"/>
        </w:rPr>
        <w:t>Postjudgment</w:t>
      </w:r>
      <w:proofErr w:type="spellEnd"/>
      <w:r w:rsidRPr="00B91198">
        <w:rPr>
          <w:sz w:val="18"/>
          <w:szCs w:val="18"/>
        </w:rPr>
        <w:t xml:space="preserve"> interest that accrues on a trust or the trust portion of a receivable shall be paid before the state's outstanding receivable.</w:t>
      </w:r>
    </w:p>
    <w:p w14:paraId="6CC4FBB6" w14:textId="1D837616"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(b)  OSDC interest applies to a receivable without a judgment as described in Subsection 63A-3-502(4)(g)(iii)(B).</w:t>
      </w:r>
    </w:p>
    <w:p w14:paraId="5BF97372" w14:textId="5755F2F9" w:rsidR="00A36F73" w:rsidRPr="00B91198" w:rsidRDefault="00A36F73" w:rsidP="00A36F73">
      <w:pPr>
        <w:widowControl/>
        <w:shd w:val="clear" w:color="auto" w:fill="FFFFFF"/>
        <w:suppressAutoHyphens/>
        <w:autoSpaceDE/>
        <w:autoSpaceDN/>
        <w:adjustRightInd/>
        <w:rPr>
          <w:sz w:val="18"/>
          <w:szCs w:val="18"/>
        </w:rPr>
      </w:pPr>
      <w:r w:rsidRPr="00B91198">
        <w:rPr>
          <w:sz w:val="18"/>
          <w:szCs w:val="18"/>
        </w:rPr>
        <w:tab/>
        <w:t>(i)  OSDC accrued interest shall be paid from each payment up to 5% of the payment after the payment of the collection fee and 2% penalty.</w:t>
      </w:r>
    </w:p>
    <w:p w14:paraId="0BCEBFD9" w14:textId="17571127" w:rsidR="00A36F73" w:rsidRPr="00B91198" w:rsidRDefault="00A36F73" w:rsidP="00A36F73">
      <w:pPr>
        <w:widowControl/>
        <w:shd w:val="clear" w:color="auto" w:fill="FFFFFF"/>
        <w:suppressAutoHyphens/>
        <w:autoSpaceDE/>
        <w:autoSpaceDN/>
        <w:adjustRightInd/>
        <w:rPr>
          <w:sz w:val="18"/>
          <w:szCs w:val="18"/>
        </w:rPr>
      </w:pPr>
      <w:r w:rsidRPr="00B91198">
        <w:rPr>
          <w:sz w:val="18"/>
          <w:szCs w:val="18"/>
        </w:rPr>
        <w:tab/>
        <w:t>(ii)  OSDC interest accrues on the unpaid principal balance of the receivable.</w:t>
      </w:r>
    </w:p>
    <w:p w14:paraId="15A29CBC" w14:textId="77777777" w:rsidR="00A36F73" w:rsidRPr="00B91198" w:rsidRDefault="00A36F73" w:rsidP="00A36F73">
      <w:pPr>
        <w:widowControl/>
        <w:shd w:val="clear" w:color="auto" w:fill="FFFFFF"/>
        <w:suppressAutoHyphens/>
        <w:autoSpaceDE/>
        <w:autoSpaceDN/>
        <w:adjustRightInd/>
        <w:rPr>
          <w:sz w:val="18"/>
          <w:szCs w:val="18"/>
        </w:rPr>
      </w:pPr>
    </w:p>
    <w:p w14:paraId="1A6394EB" w14:textId="77777777" w:rsidR="00A36F73" w:rsidRPr="00B91198" w:rsidRDefault="00A36F73" w:rsidP="00A36F73">
      <w:pPr>
        <w:widowControl/>
        <w:shd w:val="clear" w:color="auto" w:fill="FFFFFF"/>
        <w:suppressAutoHyphens/>
        <w:autoSpaceDE/>
        <w:autoSpaceDN/>
        <w:adjustRightInd/>
        <w:rPr>
          <w:bCs/>
          <w:sz w:val="18"/>
          <w:szCs w:val="18"/>
        </w:rPr>
      </w:pPr>
      <w:r w:rsidRPr="00B91198">
        <w:rPr>
          <w:b/>
          <w:bCs/>
          <w:sz w:val="18"/>
          <w:szCs w:val="18"/>
        </w:rPr>
        <w:t>R21-1-8.  Applying Interest and Fees.</w:t>
      </w:r>
    </w:p>
    <w:p w14:paraId="7954ACD2" w14:textId="12DAD893"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(1)  Each payment received on a trust receivable shall be applied to the following items in the priority listed:</w:t>
      </w:r>
    </w:p>
    <w:p w14:paraId="4076EFFF" w14:textId="70B33652"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(a)  First, the collection fee, up to a percentage determined by OSDC;</w:t>
      </w:r>
    </w:p>
    <w:p w14:paraId="2DE1DF48" w14:textId="77777777"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(b)  Second, 2% penalty;</w:t>
      </w:r>
    </w:p>
    <w:p w14:paraId="4D3F983C" w14:textId="77777777"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(c)  Third, the trust receivable principal balance up to the total amount of the receivable; and</w:t>
      </w:r>
    </w:p>
    <w:p w14:paraId="1BC00FCA" w14:textId="4A9DA381"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 xml:space="preserve">(d)  Fourth, the accrued </w:t>
      </w:r>
      <w:proofErr w:type="spellStart"/>
      <w:r w:rsidRPr="00B91198">
        <w:rPr>
          <w:sz w:val="18"/>
          <w:szCs w:val="18"/>
        </w:rPr>
        <w:t>postjudgment</w:t>
      </w:r>
      <w:proofErr w:type="spellEnd"/>
      <w:r w:rsidRPr="00B91198">
        <w:rPr>
          <w:sz w:val="18"/>
          <w:szCs w:val="18"/>
        </w:rPr>
        <w:t xml:space="preserve"> interest.</w:t>
      </w:r>
    </w:p>
    <w:p w14:paraId="322A71A1" w14:textId="04ED5101"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(2)  Each payment received on a receivable that includes trust and state receivable balances shall be applied to the following items in the priority listed:</w:t>
      </w:r>
    </w:p>
    <w:p w14:paraId="2155FEA3" w14:textId="1F495753"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(a)  First, the collection fee, up to a percentage determined by OSDC;</w:t>
      </w:r>
    </w:p>
    <w:p w14:paraId="7B168230" w14:textId="77777777"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(b)  Second, 2% penalty;</w:t>
      </w:r>
    </w:p>
    <w:p w14:paraId="298D5683" w14:textId="5BA7DB53" w:rsidR="00A36F73" w:rsidRPr="00B91198" w:rsidRDefault="00A36F73" w:rsidP="00A36F73">
      <w:pPr>
        <w:widowControl/>
        <w:shd w:val="clear" w:color="auto" w:fill="FFFFFF"/>
        <w:suppressAutoHyphens/>
        <w:autoSpaceDE/>
        <w:autoSpaceDN/>
        <w:adjustRightInd/>
        <w:rPr>
          <w:sz w:val="18"/>
          <w:szCs w:val="18"/>
        </w:rPr>
      </w:pPr>
      <w:r w:rsidRPr="00B91198">
        <w:rPr>
          <w:sz w:val="18"/>
          <w:szCs w:val="18"/>
        </w:rPr>
        <w:tab/>
        <w:t>(c)  Third, 5% OSDC interest when applicable;</w:t>
      </w:r>
    </w:p>
    <w:p w14:paraId="2E3CA8CC" w14:textId="5195E6A1"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(d)  Fourth, the trusts receivable balance until paid in full;</w:t>
      </w:r>
    </w:p>
    <w:p w14:paraId="68245F57" w14:textId="7EBD8268"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 xml:space="preserve">(e)  Fifth, the accrued trust </w:t>
      </w:r>
      <w:proofErr w:type="spellStart"/>
      <w:r w:rsidRPr="00B91198">
        <w:rPr>
          <w:sz w:val="18"/>
          <w:szCs w:val="18"/>
        </w:rPr>
        <w:t>postjudgement</w:t>
      </w:r>
      <w:proofErr w:type="spellEnd"/>
      <w:r w:rsidRPr="00B91198">
        <w:rPr>
          <w:sz w:val="18"/>
          <w:szCs w:val="18"/>
        </w:rPr>
        <w:t xml:space="preserve"> interest;</w:t>
      </w:r>
    </w:p>
    <w:p w14:paraId="566A8683" w14:textId="193BED8B"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(f)  Sixth, the state receivable balance; and</w:t>
      </w:r>
    </w:p>
    <w:p w14:paraId="4FB73DBC" w14:textId="77777777"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 xml:space="preserve">(g)  Seventh, accrued </w:t>
      </w:r>
      <w:proofErr w:type="spellStart"/>
      <w:r w:rsidRPr="00B91198">
        <w:rPr>
          <w:sz w:val="18"/>
          <w:szCs w:val="18"/>
        </w:rPr>
        <w:t>postjudgement</w:t>
      </w:r>
      <w:proofErr w:type="spellEnd"/>
      <w:r w:rsidRPr="00B91198">
        <w:rPr>
          <w:sz w:val="18"/>
          <w:szCs w:val="18"/>
        </w:rPr>
        <w:t xml:space="preserve"> interest on the state receivable balance.</w:t>
      </w:r>
    </w:p>
    <w:p w14:paraId="43C82F96" w14:textId="0BC6855E"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(3)  Each payment received on a receivable owed only to the state shall be applied to the following items in the priority listed:</w:t>
      </w:r>
    </w:p>
    <w:p w14:paraId="71D6629C" w14:textId="59F7239D"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(a)  First, the collection fee, up to a percentage determined by OSDC;</w:t>
      </w:r>
    </w:p>
    <w:p w14:paraId="4891E1B3" w14:textId="791E2E46" w:rsidR="00A36F73" w:rsidRPr="00B91198" w:rsidRDefault="00A36F73" w:rsidP="00A36F73">
      <w:pPr>
        <w:widowControl/>
        <w:shd w:val="clear" w:color="auto" w:fill="FFFFFF"/>
        <w:suppressAutoHyphens/>
        <w:autoSpaceDE/>
        <w:autoSpaceDN/>
        <w:adjustRightInd/>
        <w:rPr>
          <w:sz w:val="18"/>
          <w:szCs w:val="18"/>
        </w:rPr>
      </w:pPr>
      <w:r w:rsidRPr="00B91198">
        <w:rPr>
          <w:sz w:val="18"/>
          <w:szCs w:val="18"/>
        </w:rPr>
        <w:tab/>
        <w:t>(b)  Second, 2% penalty;</w:t>
      </w:r>
    </w:p>
    <w:p w14:paraId="1F8C6094" w14:textId="15E23762"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(c)  Third, 5% OSDC interest when applicable;</w:t>
      </w:r>
    </w:p>
    <w:p w14:paraId="6761CB5B" w14:textId="22735922"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(d)  Fourth, the principal receivable balance; and</w:t>
      </w:r>
    </w:p>
    <w:p w14:paraId="2DC347BD" w14:textId="77777777"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 xml:space="preserve">(e)  Fifth, accrued </w:t>
      </w:r>
      <w:proofErr w:type="spellStart"/>
      <w:r w:rsidRPr="00B91198">
        <w:rPr>
          <w:sz w:val="18"/>
          <w:szCs w:val="18"/>
        </w:rPr>
        <w:t>postjudgment</w:t>
      </w:r>
      <w:proofErr w:type="spellEnd"/>
      <w:r w:rsidRPr="00B91198">
        <w:rPr>
          <w:sz w:val="18"/>
          <w:szCs w:val="18"/>
        </w:rPr>
        <w:t xml:space="preserve"> interest when applicable.</w:t>
      </w:r>
    </w:p>
    <w:p w14:paraId="37A3E3CB" w14:textId="2B647C20"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(4)(a)  A trust payment sent to a victim of a crime that is returned to OSDC because of a bad address shall be retained by OSDC until the victim is located or statute requires transfer to another agency.</w:t>
      </w:r>
    </w:p>
    <w:p w14:paraId="2566BD30" w14:textId="0CE4EAA3"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(b)  Each payment shall continue to be applied to the trust balance until it is paid in full, and any payment received after the trust is paid in full shall be applied to another applicable debt.</w:t>
      </w:r>
    </w:p>
    <w:p w14:paraId="71749720" w14:textId="77777777" w:rsidR="00A36F73" w:rsidRPr="00B91198" w:rsidRDefault="00A36F73" w:rsidP="00A36F73">
      <w:pPr>
        <w:widowControl/>
        <w:shd w:val="clear" w:color="auto" w:fill="FFFFFF"/>
        <w:suppressAutoHyphens/>
        <w:autoSpaceDE/>
        <w:autoSpaceDN/>
        <w:adjustRightInd/>
        <w:rPr>
          <w:bCs/>
          <w:sz w:val="18"/>
          <w:szCs w:val="18"/>
        </w:rPr>
      </w:pPr>
    </w:p>
    <w:p w14:paraId="20D6ABC6" w14:textId="450A314D" w:rsidR="00A36F73" w:rsidRPr="00B91198" w:rsidRDefault="00A36F73" w:rsidP="00A36F73">
      <w:pPr>
        <w:widowControl/>
        <w:shd w:val="clear" w:color="auto" w:fill="FFFFFF"/>
        <w:suppressAutoHyphens/>
        <w:autoSpaceDE/>
        <w:autoSpaceDN/>
        <w:adjustRightInd/>
        <w:rPr>
          <w:sz w:val="18"/>
          <w:szCs w:val="21"/>
        </w:rPr>
      </w:pPr>
      <w:r w:rsidRPr="00B91198">
        <w:rPr>
          <w:b/>
          <w:bCs/>
          <w:sz w:val="18"/>
          <w:szCs w:val="18"/>
        </w:rPr>
        <w:t>R21-1-9.  Write-Off of Accounts Receivable.</w:t>
      </w:r>
    </w:p>
    <w:p w14:paraId="66889C3A" w14:textId="04A22926"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Each agency shall follow the statewide accounting policies and procedures for write-offs and allowances, which are available on the Division of Finance website, finance.utah.gov.</w:t>
      </w:r>
    </w:p>
    <w:p w14:paraId="21DE39FC" w14:textId="77777777" w:rsidR="00A36F73" w:rsidRPr="00B91198" w:rsidRDefault="00A36F73" w:rsidP="00A36F73">
      <w:pPr>
        <w:widowControl/>
        <w:shd w:val="clear" w:color="auto" w:fill="FFFFFF"/>
        <w:suppressAutoHyphens/>
        <w:autoSpaceDE/>
        <w:autoSpaceDN/>
        <w:adjustRightInd/>
        <w:rPr>
          <w:bCs/>
          <w:sz w:val="18"/>
          <w:szCs w:val="18"/>
        </w:rPr>
      </w:pPr>
    </w:p>
    <w:p w14:paraId="65633503" w14:textId="5C114196" w:rsidR="00A36F73" w:rsidRPr="00B91198" w:rsidRDefault="00A36F73" w:rsidP="00A36F73">
      <w:pPr>
        <w:widowControl/>
        <w:shd w:val="clear" w:color="auto" w:fill="FFFFFF"/>
        <w:suppressAutoHyphens/>
        <w:autoSpaceDE/>
        <w:autoSpaceDN/>
        <w:adjustRightInd/>
        <w:rPr>
          <w:sz w:val="18"/>
          <w:szCs w:val="21"/>
        </w:rPr>
      </w:pPr>
      <w:r w:rsidRPr="00B91198">
        <w:rPr>
          <w:b/>
          <w:bCs/>
          <w:sz w:val="18"/>
          <w:szCs w:val="18"/>
        </w:rPr>
        <w:t>R21-1-10.  Original Signature Required on Certain OSDC Documents.</w:t>
      </w:r>
    </w:p>
    <w:p w14:paraId="29F5A456" w14:textId="1D0E0CD5"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OSDC requires an original signature on:</w:t>
      </w:r>
    </w:p>
    <w:p w14:paraId="4FAE2E77" w14:textId="6B7354AC"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(1)  a victim settlement agreement;</w:t>
      </w:r>
    </w:p>
    <w:p w14:paraId="6839600C" w14:textId="42844884"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lastRenderedPageBreak/>
        <w:tab/>
        <w:t>(2)  a payment agreement;</w:t>
      </w:r>
    </w:p>
    <w:p w14:paraId="7C269DDF" w14:textId="4913EEF0"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(3)  a wage assignment;</w:t>
      </w:r>
    </w:p>
    <w:p w14:paraId="70837B54" w14:textId="65FA7464"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(4)  an authority for the automatic transfer of funds (EFT); and</w:t>
      </w:r>
    </w:p>
    <w:p w14:paraId="7F1F4783" w14:textId="373180DF"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(5)  an authority for the automatic credit or debit card charge.</w:t>
      </w:r>
    </w:p>
    <w:p w14:paraId="6E07727C" w14:textId="77777777" w:rsidR="00A36F73" w:rsidRPr="00B91198" w:rsidRDefault="00A36F73" w:rsidP="00A36F73">
      <w:pPr>
        <w:widowControl/>
        <w:shd w:val="clear" w:color="auto" w:fill="FFFFFF"/>
        <w:suppressAutoHyphens/>
        <w:autoSpaceDE/>
        <w:autoSpaceDN/>
        <w:adjustRightInd/>
        <w:rPr>
          <w:bCs/>
          <w:sz w:val="18"/>
          <w:szCs w:val="18"/>
        </w:rPr>
      </w:pPr>
    </w:p>
    <w:p w14:paraId="2EBFEFAA" w14:textId="0129CA79" w:rsidR="00A36F73" w:rsidRPr="00B91198" w:rsidRDefault="00A36F73" w:rsidP="00A36F73">
      <w:pPr>
        <w:widowControl/>
        <w:shd w:val="clear" w:color="auto" w:fill="FFFFFF"/>
        <w:suppressAutoHyphens/>
        <w:autoSpaceDE/>
        <w:autoSpaceDN/>
        <w:adjustRightInd/>
        <w:rPr>
          <w:sz w:val="18"/>
          <w:szCs w:val="21"/>
        </w:rPr>
      </w:pPr>
      <w:r w:rsidRPr="00B91198">
        <w:rPr>
          <w:b/>
          <w:bCs/>
          <w:sz w:val="18"/>
          <w:szCs w:val="18"/>
        </w:rPr>
        <w:t>R21-1-11.  Delay and Remission of Fees and Penalties.</w:t>
      </w:r>
    </w:p>
    <w:p w14:paraId="145A26E6" w14:textId="053C13D8" w:rsidR="00A36F73" w:rsidRPr="00B91198" w:rsidRDefault="00A36F73" w:rsidP="00A36F73">
      <w:pPr>
        <w:widowControl/>
        <w:shd w:val="clear" w:color="auto" w:fill="FFFFFF"/>
        <w:suppressAutoHyphens/>
        <w:autoSpaceDE/>
        <w:autoSpaceDN/>
        <w:adjustRightInd/>
        <w:rPr>
          <w:sz w:val="18"/>
          <w:szCs w:val="21"/>
        </w:rPr>
      </w:pPr>
      <w:r w:rsidRPr="00B91198">
        <w:rPr>
          <w:sz w:val="18"/>
          <w:szCs w:val="18"/>
        </w:rPr>
        <w:tab/>
        <w:t>(1)  OSDC may create policies for reducing fees and penalties to incentivize payment of debts.</w:t>
      </w:r>
    </w:p>
    <w:p w14:paraId="61930CBC" w14:textId="6CD1EE87" w:rsidR="00A36F73" w:rsidRPr="00B91198" w:rsidRDefault="00A36F73" w:rsidP="00A36F73">
      <w:pPr>
        <w:widowControl/>
        <w:shd w:val="clear" w:color="auto" w:fill="FFFFFF"/>
        <w:suppressAutoHyphens/>
        <w:autoSpaceDE/>
        <w:autoSpaceDN/>
        <w:adjustRightInd/>
        <w:rPr>
          <w:sz w:val="18"/>
          <w:szCs w:val="18"/>
        </w:rPr>
      </w:pPr>
      <w:r w:rsidRPr="00B91198">
        <w:rPr>
          <w:sz w:val="18"/>
          <w:szCs w:val="18"/>
        </w:rPr>
        <w:tab/>
        <w:t>(2)  When OSDC receives a criminal account receivable for an offender who is incarcerated for the same criminal offense, OSDC may not apply a collection fee or penalty to the receivable until 90 days after the debtor is released from prison.</w:t>
      </w:r>
    </w:p>
    <w:p w14:paraId="615C7790" w14:textId="77777777" w:rsidR="00A36F73" w:rsidRPr="00B91198" w:rsidRDefault="00A36F73" w:rsidP="00A36F73">
      <w:pPr>
        <w:widowControl/>
        <w:shd w:val="clear" w:color="auto" w:fill="FFFFFF"/>
        <w:suppressAutoHyphens/>
        <w:autoSpaceDE/>
        <w:autoSpaceDN/>
        <w:adjustRightInd/>
        <w:rPr>
          <w:sz w:val="18"/>
          <w:szCs w:val="18"/>
        </w:rPr>
      </w:pPr>
      <w:r w:rsidRPr="00B91198">
        <w:rPr>
          <w:sz w:val="18"/>
          <w:szCs w:val="18"/>
        </w:rPr>
        <w:tab/>
        <w:t>(3)  When a debt is for a dishonored check as described in Section 7-15-1, fees and interest shall be assessed in accordance with that section.</w:t>
      </w:r>
    </w:p>
    <w:p w14:paraId="3363C567" w14:textId="77777777" w:rsidR="00A36F73" w:rsidRPr="00B91198" w:rsidRDefault="00A36F73" w:rsidP="00A36F73">
      <w:pPr>
        <w:widowControl/>
        <w:shd w:val="clear" w:color="auto" w:fill="FFFFFF"/>
        <w:suppressAutoHyphens/>
        <w:autoSpaceDE/>
        <w:autoSpaceDN/>
        <w:adjustRightInd/>
        <w:rPr>
          <w:sz w:val="18"/>
          <w:szCs w:val="18"/>
        </w:rPr>
      </w:pPr>
    </w:p>
    <w:p w14:paraId="1598BE16" w14:textId="77777777" w:rsidR="00A36F73" w:rsidRPr="00B91198" w:rsidRDefault="00A36F73" w:rsidP="00A36F73">
      <w:pPr>
        <w:widowControl/>
        <w:shd w:val="clear" w:color="auto" w:fill="FFFFFF"/>
        <w:suppressAutoHyphens/>
        <w:autoSpaceDE/>
        <w:autoSpaceDN/>
        <w:adjustRightInd/>
        <w:rPr>
          <w:sz w:val="18"/>
          <w:szCs w:val="18"/>
        </w:rPr>
      </w:pPr>
      <w:r w:rsidRPr="00B91198">
        <w:rPr>
          <w:b/>
          <w:bCs/>
          <w:sz w:val="18"/>
          <w:szCs w:val="18"/>
        </w:rPr>
        <w:t>R21-1-12.  Collection Techniques.</w:t>
      </w:r>
    </w:p>
    <w:p w14:paraId="1FC11847" w14:textId="77777777" w:rsidR="00A36F73" w:rsidRPr="00B91198" w:rsidRDefault="00A36F73" w:rsidP="00A36F73">
      <w:pPr>
        <w:widowControl/>
        <w:shd w:val="clear" w:color="auto" w:fill="FFFFFF"/>
        <w:suppressAutoHyphens/>
        <w:autoSpaceDE/>
        <w:autoSpaceDN/>
        <w:adjustRightInd/>
        <w:rPr>
          <w:sz w:val="18"/>
          <w:szCs w:val="18"/>
        </w:rPr>
      </w:pPr>
      <w:r w:rsidRPr="00B91198">
        <w:rPr>
          <w:sz w:val="18"/>
          <w:szCs w:val="18"/>
        </w:rPr>
        <w:tab/>
        <w:t>OSDC may use different collection techniques which may include the use of:</w:t>
      </w:r>
    </w:p>
    <w:p w14:paraId="4DCD1DCE" w14:textId="77777777" w:rsidR="00A36F73" w:rsidRPr="00B91198" w:rsidRDefault="00A36F73" w:rsidP="00A36F73">
      <w:pPr>
        <w:widowControl/>
        <w:shd w:val="clear" w:color="auto" w:fill="FFFFFF"/>
        <w:suppressAutoHyphens/>
        <w:autoSpaceDE/>
        <w:autoSpaceDN/>
        <w:adjustRightInd/>
        <w:rPr>
          <w:sz w:val="18"/>
          <w:szCs w:val="18"/>
        </w:rPr>
      </w:pPr>
      <w:r w:rsidRPr="00B91198">
        <w:rPr>
          <w:sz w:val="18"/>
          <w:szCs w:val="18"/>
        </w:rPr>
        <w:tab/>
        <w:t>(1)  credit-reporting bureaus;</w:t>
      </w:r>
    </w:p>
    <w:p w14:paraId="50FD42A6" w14:textId="77777777" w:rsidR="00A36F73" w:rsidRPr="00B91198" w:rsidRDefault="00A36F73" w:rsidP="00A36F73">
      <w:pPr>
        <w:widowControl/>
        <w:shd w:val="clear" w:color="auto" w:fill="FFFFFF"/>
        <w:suppressAutoHyphens/>
        <w:autoSpaceDE/>
        <w:autoSpaceDN/>
        <w:adjustRightInd/>
        <w:rPr>
          <w:sz w:val="18"/>
          <w:szCs w:val="18"/>
        </w:rPr>
      </w:pPr>
      <w:r w:rsidRPr="00B91198">
        <w:rPr>
          <w:sz w:val="18"/>
          <w:szCs w:val="18"/>
        </w:rPr>
        <w:tab/>
        <w:t>(2)  collection agencies;</w:t>
      </w:r>
    </w:p>
    <w:p w14:paraId="1EF2B9D7" w14:textId="77777777" w:rsidR="00A36F73" w:rsidRPr="00B91198" w:rsidRDefault="00A36F73" w:rsidP="00A36F73">
      <w:pPr>
        <w:widowControl/>
        <w:shd w:val="clear" w:color="auto" w:fill="FFFFFF"/>
        <w:suppressAutoHyphens/>
        <w:autoSpaceDE/>
        <w:autoSpaceDN/>
        <w:adjustRightInd/>
        <w:rPr>
          <w:sz w:val="18"/>
          <w:szCs w:val="18"/>
        </w:rPr>
      </w:pPr>
      <w:r w:rsidRPr="00B91198">
        <w:rPr>
          <w:sz w:val="18"/>
          <w:szCs w:val="18"/>
        </w:rPr>
        <w:tab/>
        <w:t>(3)  garnishments;</w:t>
      </w:r>
    </w:p>
    <w:p w14:paraId="60D03748" w14:textId="77777777" w:rsidR="00A36F73" w:rsidRPr="00B91198" w:rsidRDefault="00A36F73" w:rsidP="00A36F73">
      <w:pPr>
        <w:widowControl/>
        <w:shd w:val="clear" w:color="auto" w:fill="FFFFFF"/>
        <w:suppressAutoHyphens/>
        <w:autoSpaceDE/>
        <w:autoSpaceDN/>
        <w:adjustRightInd/>
        <w:rPr>
          <w:sz w:val="18"/>
          <w:szCs w:val="18"/>
        </w:rPr>
      </w:pPr>
      <w:r w:rsidRPr="00B91198">
        <w:rPr>
          <w:sz w:val="18"/>
          <w:szCs w:val="18"/>
        </w:rPr>
        <w:tab/>
        <w:t>(4)  liens;</w:t>
      </w:r>
    </w:p>
    <w:p w14:paraId="2EE5BE9E" w14:textId="77777777" w:rsidR="00A36F73" w:rsidRPr="00B91198" w:rsidRDefault="00A36F73" w:rsidP="00A36F73">
      <w:pPr>
        <w:widowControl/>
        <w:shd w:val="clear" w:color="auto" w:fill="FFFFFF"/>
        <w:suppressAutoHyphens/>
        <w:autoSpaceDE/>
        <w:autoSpaceDN/>
        <w:adjustRightInd/>
        <w:rPr>
          <w:sz w:val="18"/>
          <w:szCs w:val="18"/>
        </w:rPr>
      </w:pPr>
      <w:r w:rsidRPr="00B91198">
        <w:rPr>
          <w:sz w:val="18"/>
          <w:szCs w:val="18"/>
        </w:rPr>
        <w:tab/>
        <w:t>(5)  executions on any type of property;</w:t>
      </w:r>
    </w:p>
    <w:p w14:paraId="3ECE77BC" w14:textId="77777777" w:rsidR="00A36F73" w:rsidRPr="00B91198" w:rsidRDefault="00A36F73" w:rsidP="00A36F73">
      <w:pPr>
        <w:widowControl/>
        <w:shd w:val="clear" w:color="auto" w:fill="FFFFFF"/>
        <w:suppressAutoHyphens/>
        <w:autoSpaceDE/>
        <w:autoSpaceDN/>
        <w:adjustRightInd/>
        <w:rPr>
          <w:sz w:val="18"/>
          <w:szCs w:val="18"/>
        </w:rPr>
      </w:pPr>
      <w:r w:rsidRPr="00B91198">
        <w:rPr>
          <w:sz w:val="18"/>
          <w:szCs w:val="18"/>
        </w:rPr>
        <w:tab/>
        <w:t>(6)  judgments; and</w:t>
      </w:r>
    </w:p>
    <w:p w14:paraId="11D433F4" w14:textId="77777777" w:rsidR="00A36F73" w:rsidRPr="00B91198" w:rsidRDefault="00A36F73" w:rsidP="00A36F73">
      <w:pPr>
        <w:widowControl/>
        <w:shd w:val="clear" w:color="auto" w:fill="FFFFFF"/>
        <w:suppressAutoHyphens/>
        <w:autoSpaceDE/>
        <w:autoSpaceDN/>
        <w:adjustRightInd/>
        <w:rPr>
          <w:sz w:val="18"/>
          <w:szCs w:val="18"/>
        </w:rPr>
      </w:pPr>
      <w:r w:rsidRPr="00B91198">
        <w:rPr>
          <w:sz w:val="18"/>
          <w:szCs w:val="18"/>
        </w:rPr>
        <w:tab/>
        <w:t>(7)  administrative offsets.</w:t>
      </w:r>
    </w:p>
    <w:p w14:paraId="14D9C427" w14:textId="77777777" w:rsidR="00A36F73" w:rsidRPr="00B91198" w:rsidRDefault="00A36F73" w:rsidP="00A36F73">
      <w:pPr>
        <w:widowControl/>
        <w:shd w:val="clear" w:color="auto" w:fill="FFFFFF"/>
        <w:suppressAutoHyphens/>
        <w:autoSpaceDE/>
        <w:autoSpaceDN/>
        <w:adjustRightInd/>
        <w:rPr>
          <w:bCs/>
          <w:sz w:val="18"/>
          <w:szCs w:val="18"/>
        </w:rPr>
      </w:pPr>
    </w:p>
    <w:p w14:paraId="0146BB9A" w14:textId="77777777" w:rsidR="00A36F73" w:rsidRPr="00B91198" w:rsidRDefault="00A36F73" w:rsidP="00A36F73">
      <w:pPr>
        <w:widowControl/>
        <w:shd w:val="clear" w:color="auto" w:fill="FFFFFF"/>
        <w:suppressAutoHyphens/>
        <w:autoSpaceDE/>
        <w:autoSpaceDN/>
        <w:adjustRightInd/>
        <w:rPr>
          <w:sz w:val="18"/>
          <w:szCs w:val="21"/>
        </w:rPr>
      </w:pPr>
      <w:r w:rsidRPr="00B91198">
        <w:rPr>
          <w:b/>
          <w:bCs/>
          <w:sz w:val="18"/>
          <w:szCs w:val="18"/>
        </w:rPr>
        <w:t>KEY:  accounts receivable, collection transfer</w:t>
      </w:r>
    </w:p>
    <w:p w14:paraId="1197B59A" w14:textId="4CB89F90" w:rsidR="00A36F73" w:rsidRPr="00B91198" w:rsidRDefault="00A36F73" w:rsidP="00A36F73">
      <w:pPr>
        <w:widowControl/>
        <w:shd w:val="clear" w:color="auto" w:fill="FFFFFF"/>
        <w:suppressAutoHyphens/>
        <w:autoSpaceDE/>
        <w:autoSpaceDN/>
        <w:adjustRightInd/>
        <w:rPr>
          <w:sz w:val="18"/>
          <w:szCs w:val="21"/>
        </w:rPr>
      </w:pPr>
      <w:r w:rsidRPr="00B91198">
        <w:rPr>
          <w:b/>
          <w:bCs/>
          <w:sz w:val="18"/>
          <w:szCs w:val="18"/>
        </w:rPr>
        <w:t xml:space="preserve">Date of Last Change:  </w:t>
      </w:r>
      <w:r w:rsidR="004B4741" w:rsidRPr="00B91198">
        <w:rPr>
          <w:b/>
          <w:bCs/>
          <w:sz w:val="18"/>
          <w:szCs w:val="18"/>
        </w:rPr>
        <w:t xml:space="preserve">October 10, </w:t>
      </w:r>
      <w:r w:rsidRPr="00B91198">
        <w:rPr>
          <w:b/>
          <w:bCs/>
          <w:sz w:val="18"/>
          <w:szCs w:val="18"/>
        </w:rPr>
        <w:t>2024</w:t>
      </w:r>
    </w:p>
    <w:p w14:paraId="041E8055" w14:textId="77777777" w:rsidR="00A36F73" w:rsidRPr="00B91198" w:rsidRDefault="00A36F73" w:rsidP="00A36F73">
      <w:pPr>
        <w:widowControl/>
        <w:shd w:val="clear" w:color="auto" w:fill="FFFFFF"/>
        <w:suppressAutoHyphens/>
        <w:autoSpaceDE/>
        <w:autoSpaceDN/>
        <w:adjustRightInd/>
        <w:rPr>
          <w:sz w:val="18"/>
          <w:szCs w:val="21"/>
        </w:rPr>
      </w:pPr>
      <w:r w:rsidRPr="00B91198">
        <w:rPr>
          <w:b/>
          <w:bCs/>
          <w:sz w:val="18"/>
          <w:szCs w:val="18"/>
        </w:rPr>
        <w:t>Notice of Continuation:  March 10, 2022</w:t>
      </w:r>
    </w:p>
    <w:p w14:paraId="212E0261" w14:textId="77777777" w:rsidR="00A36F73" w:rsidRPr="00B91198" w:rsidRDefault="00A36F73" w:rsidP="00A36F73">
      <w:pPr>
        <w:widowControl/>
        <w:shd w:val="clear" w:color="auto" w:fill="FFFFFF"/>
        <w:suppressAutoHyphens/>
        <w:autoSpaceDE/>
        <w:autoSpaceDN/>
        <w:adjustRightInd/>
        <w:rPr>
          <w:sz w:val="18"/>
          <w:szCs w:val="21"/>
        </w:rPr>
      </w:pPr>
      <w:r w:rsidRPr="00B91198">
        <w:rPr>
          <w:b/>
          <w:bCs/>
          <w:sz w:val="18"/>
          <w:szCs w:val="18"/>
        </w:rPr>
        <w:t>Authorizing, and Implemented or Interpreted Law:  63A-3-502(3)(m); 63A-3-502(4)(g); 63A-3-502(6)(a); 63A-3-502(6)(b); 63A-3-502(7)(f); 15-1-4</w:t>
      </w:r>
    </w:p>
    <w:p w14:paraId="7D1DF5A0" w14:textId="77777777" w:rsidR="00A36F73" w:rsidRPr="00B91198" w:rsidRDefault="00A36F73" w:rsidP="00A36F73">
      <w:pPr>
        <w:widowControl/>
        <w:suppressAutoHyphens/>
        <w:rPr>
          <w:sz w:val="18"/>
        </w:rPr>
      </w:pPr>
    </w:p>
    <w:p w14:paraId="7148C075" w14:textId="2DC212E9" w:rsidR="00AC60A3" w:rsidRPr="00B91198" w:rsidRDefault="00AC60A3" w:rsidP="00A36F73">
      <w:pPr>
        <w:widowControl/>
        <w:suppressAutoHyphens/>
        <w:rPr>
          <w:rStyle w:val="s1"/>
          <w:spacing w:val="0"/>
          <w:sz w:val="18"/>
        </w:rPr>
      </w:pPr>
    </w:p>
    <w:sectPr w:rsidR="00AC60A3" w:rsidRPr="00B91198" w:rsidSect="00B91198">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8FEC5A" w14:textId="77777777" w:rsidR="008F22FF" w:rsidRDefault="008F22FF" w:rsidP="00C17968">
      <w:r>
        <w:separator/>
      </w:r>
    </w:p>
  </w:endnote>
  <w:endnote w:type="continuationSeparator" w:id="0">
    <w:p w14:paraId="52571317" w14:textId="77777777" w:rsidR="008F22FF" w:rsidRDefault="008F22FF"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606E1D" w14:textId="77777777" w:rsidR="008F22FF" w:rsidRDefault="008F22FF" w:rsidP="00C17968">
      <w:r>
        <w:separator/>
      </w:r>
    </w:p>
  </w:footnote>
  <w:footnote w:type="continuationSeparator" w:id="0">
    <w:p w14:paraId="1531625F" w14:textId="77777777" w:rsidR="008F22FF" w:rsidRDefault="008F22FF"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7"/>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5B70"/>
    <w:rsid w:val="000069A9"/>
    <w:rsid w:val="00027A64"/>
    <w:rsid w:val="000303E0"/>
    <w:rsid w:val="0003198B"/>
    <w:rsid w:val="00036BEB"/>
    <w:rsid w:val="00050AB6"/>
    <w:rsid w:val="000559FE"/>
    <w:rsid w:val="0005628D"/>
    <w:rsid w:val="00075FED"/>
    <w:rsid w:val="00081F18"/>
    <w:rsid w:val="00083289"/>
    <w:rsid w:val="0008604D"/>
    <w:rsid w:val="00086A4C"/>
    <w:rsid w:val="00092D64"/>
    <w:rsid w:val="000A63C1"/>
    <w:rsid w:val="000B0C8F"/>
    <w:rsid w:val="000B4CBC"/>
    <w:rsid w:val="000B6135"/>
    <w:rsid w:val="000C3C78"/>
    <w:rsid w:val="000E034A"/>
    <w:rsid w:val="000E7CDD"/>
    <w:rsid w:val="00101FCF"/>
    <w:rsid w:val="00102BB0"/>
    <w:rsid w:val="001177BC"/>
    <w:rsid w:val="0012445D"/>
    <w:rsid w:val="00124472"/>
    <w:rsid w:val="00126F26"/>
    <w:rsid w:val="00127C18"/>
    <w:rsid w:val="00136C69"/>
    <w:rsid w:val="00136E6B"/>
    <w:rsid w:val="00140B4F"/>
    <w:rsid w:val="00151B36"/>
    <w:rsid w:val="0016493D"/>
    <w:rsid w:val="00173A17"/>
    <w:rsid w:val="00176730"/>
    <w:rsid w:val="001769DF"/>
    <w:rsid w:val="0018100B"/>
    <w:rsid w:val="00192A64"/>
    <w:rsid w:val="001B1B40"/>
    <w:rsid w:val="001B4CE4"/>
    <w:rsid w:val="001C3DAB"/>
    <w:rsid w:val="001D2CBE"/>
    <w:rsid w:val="001F04F9"/>
    <w:rsid w:val="001F78BA"/>
    <w:rsid w:val="00200E31"/>
    <w:rsid w:val="00210873"/>
    <w:rsid w:val="00210AED"/>
    <w:rsid w:val="00210E2C"/>
    <w:rsid w:val="00214BA0"/>
    <w:rsid w:val="00231085"/>
    <w:rsid w:val="00250B69"/>
    <w:rsid w:val="00253C3B"/>
    <w:rsid w:val="00256032"/>
    <w:rsid w:val="002639EB"/>
    <w:rsid w:val="00266359"/>
    <w:rsid w:val="00272D20"/>
    <w:rsid w:val="00282078"/>
    <w:rsid w:val="00282CAA"/>
    <w:rsid w:val="00291DCA"/>
    <w:rsid w:val="002931DB"/>
    <w:rsid w:val="00296B2B"/>
    <w:rsid w:val="00297523"/>
    <w:rsid w:val="002A5FB1"/>
    <w:rsid w:val="002B33E7"/>
    <w:rsid w:val="002B5227"/>
    <w:rsid w:val="002B721A"/>
    <w:rsid w:val="002C31EE"/>
    <w:rsid w:val="002C5094"/>
    <w:rsid w:val="002D443D"/>
    <w:rsid w:val="002D4474"/>
    <w:rsid w:val="002D495E"/>
    <w:rsid w:val="002E24EF"/>
    <w:rsid w:val="002E6F38"/>
    <w:rsid w:val="002F45BF"/>
    <w:rsid w:val="002F5577"/>
    <w:rsid w:val="003121D3"/>
    <w:rsid w:val="00316A41"/>
    <w:rsid w:val="003217E6"/>
    <w:rsid w:val="00335956"/>
    <w:rsid w:val="0033622C"/>
    <w:rsid w:val="00342459"/>
    <w:rsid w:val="003430E8"/>
    <w:rsid w:val="00345D3D"/>
    <w:rsid w:val="00364326"/>
    <w:rsid w:val="00364623"/>
    <w:rsid w:val="00373FE5"/>
    <w:rsid w:val="00380D52"/>
    <w:rsid w:val="0038617B"/>
    <w:rsid w:val="003939FE"/>
    <w:rsid w:val="003978C4"/>
    <w:rsid w:val="003A5570"/>
    <w:rsid w:val="003B6116"/>
    <w:rsid w:val="003D2721"/>
    <w:rsid w:val="003D601B"/>
    <w:rsid w:val="003E6785"/>
    <w:rsid w:val="003F5416"/>
    <w:rsid w:val="003F64A7"/>
    <w:rsid w:val="003F6A4F"/>
    <w:rsid w:val="00402912"/>
    <w:rsid w:val="00403755"/>
    <w:rsid w:val="00407235"/>
    <w:rsid w:val="00414E0D"/>
    <w:rsid w:val="0041566E"/>
    <w:rsid w:val="00430473"/>
    <w:rsid w:val="004423A3"/>
    <w:rsid w:val="00457B35"/>
    <w:rsid w:val="00462360"/>
    <w:rsid w:val="00463EB3"/>
    <w:rsid w:val="00465A08"/>
    <w:rsid w:val="00466000"/>
    <w:rsid w:val="00467737"/>
    <w:rsid w:val="00471EA8"/>
    <w:rsid w:val="004803F6"/>
    <w:rsid w:val="004A031A"/>
    <w:rsid w:val="004B4741"/>
    <w:rsid w:val="004B7F3B"/>
    <w:rsid w:val="004C20EA"/>
    <w:rsid w:val="004C4015"/>
    <w:rsid w:val="004D328F"/>
    <w:rsid w:val="004D6084"/>
    <w:rsid w:val="004D7B2E"/>
    <w:rsid w:val="004E4464"/>
    <w:rsid w:val="0051507C"/>
    <w:rsid w:val="00515C6A"/>
    <w:rsid w:val="00516E14"/>
    <w:rsid w:val="00532630"/>
    <w:rsid w:val="005334DD"/>
    <w:rsid w:val="00550F3B"/>
    <w:rsid w:val="00551480"/>
    <w:rsid w:val="005537F6"/>
    <w:rsid w:val="005556D4"/>
    <w:rsid w:val="00557EC3"/>
    <w:rsid w:val="00561C24"/>
    <w:rsid w:val="00563DBC"/>
    <w:rsid w:val="0057263E"/>
    <w:rsid w:val="005732E8"/>
    <w:rsid w:val="00574132"/>
    <w:rsid w:val="00583378"/>
    <w:rsid w:val="005879FB"/>
    <w:rsid w:val="00590D6C"/>
    <w:rsid w:val="00594E8B"/>
    <w:rsid w:val="005960C4"/>
    <w:rsid w:val="005A4427"/>
    <w:rsid w:val="005A463F"/>
    <w:rsid w:val="005A6E0E"/>
    <w:rsid w:val="005A7398"/>
    <w:rsid w:val="005B4EE0"/>
    <w:rsid w:val="005C024A"/>
    <w:rsid w:val="005C0F34"/>
    <w:rsid w:val="005D674B"/>
    <w:rsid w:val="005D6A7E"/>
    <w:rsid w:val="005E56FB"/>
    <w:rsid w:val="005F7305"/>
    <w:rsid w:val="00600CF1"/>
    <w:rsid w:val="00617D1E"/>
    <w:rsid w:val="00631305"/>
    <w:rsid w:val="00631C68"/>
    <w:rsid w:val="006431BE"/>
    <w:rsid w:val="00646433"/>
    <w:rsid w:val="00646E1C"/>
    <w:rsid w:val="006515A9"/>
    <w:rsid w:val="006604BD"/>
    <w:rsid w:val="00664156"/>
    <w:rsid w:val="006655A2"/>
    <w:rsid w:val="006661C3"/>
    <w:rsid w:val="006667C3"/>
    <w:rsid w:val="006703B8"/>
    <w:rsid w:val="00682427"/>
    <w:rsid w:val="006836AF"/>
    <w:rsid w:val="0068635C"/>
    <w:rsid w:val="0069040D"/>
    <w:rsid w:val="006936DF"/>
    <w:rsid w:val="006972A0"/>
    <w:rsid w:val="006A3F24"/>
    <w:rsid w:val="006A7D14"/>
    <w:rsid w:val="006B70AF"/>
    <w:rsid w:val="006C3CC7"/>
    <w:rsid w:val="006D167F"/>
    <w:rsid w:val="006E0BF1"/>
    <w:rsid w:val="006E3B60"/>
    <w:rsid w:val="006F2E1A"/>
    <w:rsid w:val="006F6855"/>
    <w:rsid w:val="007047A1"/>
    <w:rsid w:val="00713104"/>
    <w:rsid w:val="00715301"/>
    <w:rsid w:val="00716F7B"/>
    <w:rsid w:val="00722C2A"/>
    <w:rsid w:val="007231FC"/>
    <w:rsid w:val="00723BDF"/>
    <w:rsid w:val="0072519E"/>
    <w:rsid w:val="0073003A"/>
    <w:rsid w:val="00732114"/>
    <w:rsid w:val="00736DC2"/>
    <w:rsid w:val="00753C35"/>
    <w:rsid w:val="00754384"/>
    <w:rsid w:val="007613E9"/>
    <w:rsid w:val="00762BDA"/>
    <w:rsid w:val="00772653"/>
    <w:rsid w:val="007934DC"/>
    <w:rsid w:val="00794677"/>
    <w:rsid w:val="00796BA5"/>
    <w:rsid w:val="007A1FEA"/>
    <w:rsid w:val="007B6C82"/>
    <w:rsid w:val="007C0D49"/>
    <w:rsid w:val="007C471A"/>
    <w:rsid w:val="007D0B87"/>
    <w:rsid w:val="007D1F9D"/>
    <w:rsid w:val="007D65CB"/>
    <w:rsid w:val="007E4C5D"/>
    <w:rsid w:val="007F65B6"/>
    <w:rsid w:val="007F72B5"/>
    <w:rsid w:val="00803305"/>
    <w:rsid w:val="0080330C"/>
    <w:rsid w:val="00807FE5"/>
    <w:rsid w:val="00810D88"/>
    <w:rsid w:val="008315F8"/>
    <w:rsid w:val="00834BFA"/>
    <w:rsid w:val="00835660"/>
    <w:rsid w:val="00840B24"/>
    <w:rsid w:val="00844B36"/>
    <w:rsid w:val="008529C9"/>
    <w:rsid w:val="00857573"/>
    <w:rsid w:val="008637F2"/>
    <w:rsid w:val="008705CB"/>
    <w:rsid w:val="00876831"/>
    <w:rsid w:val="008829AB"/>
    <w:rsid w:val="00886A83"/>
    <w:rsid w:val="00890A1F"/>
    <w:rsid w:val="008967CC"/>
    <w:rsid w:val="008B0B8A"/>
    <w:rsid w:val="008C141B"/>
    <w:rsid w:val="008C504C"/>
    <w:rsid w:val="008D6C4B"/>
    <w:rsid w:val="008E3D02"/>
    <w:rsid w:val="008E7D9B"/>
    <w:rsid w:val="008F22FF"/>
    <w:rsid w:val="009174AF"/>
    <w:rsid w:val="009226D8"/>
    <w:rsid w:val="00922D61"/>
    <w:rsid w:val="009279FD"/>
    <w:rsid w:val="00936E76"/>
    <w:rsid w:val="009444FB"/>
    <w:rsid w:val="009510CD"/>
    <w:rsid w:val="00964E49"/>
    <w:rsid w:val="00972628"/>
    <w:rsid w:val="00991D5A"/>
    <w:rsid w:val="0099724C"/>
    <w:rsid w:val="009A2A78"/>
    <w:rsid w:val="009B5129"/>
    <w:rsid w:val="009B5790"/>
    <w:rsid w:val="009C0017"/>
    <w:rsid w:val="009C29FD"/>
    <w:rsid w:val="009C2A6A"/>
    <w:rsid w:val="009C3A09"/>
    <w:rsid w:val="009C6B00"/>
    <w:rsid w:val="009E5ABD"/>
    <w:rsid w:val="009F5510"/>
    <w:rsid w:val="00A013E8"/>
    <w:rsid w:val="00A0145C"/>
    <w:rsid w:val="00A0406E"/>
    <w:rsid w:val="00A1558D"/>
    <w:rsid w:val="00A2194C"/>
    <w:rsid w:val="00A25F67"/>
    <w:rsid w:val="00A2684B"/>
    <w:rsid w:val="00A2698B"/>
    <w:rsid w:val="00A349FB"/>
    <w:rsid w:val="00A36F73"/>
    <w:rsid w:val="00A41D37"/>
    <w:rsid w:val="00A52209"/>
    <w:rsid w:val="00A52702"/>
    <w:rsid w:val="00A6312E"/>
    <w:rsid w:val="00A65F6D"/>
    <w:rsid w:val="00A71A58"/>
    <w:rsid w:val="00A73598"/>
    <w:rsid w:val="00A807AF"/>
    <w:rsid w:val="00A827B6"/>
    <w:rsid w:val="00A93EFE"/>
    <w:rsid w:val="00AA3C73"/>
    <w:rsid w:val="00AA649A"/>
    <w:rsid w:val="00AB0BE0"/>
    <w:rsid w:val="00AB5714"/>
    <w:rsid w:val="00AB6293"/>
    <w:rsid w:val="00AC02E0"/>
    <w:rsid w:val="00AC2734"/>
    <w:rsid w:val="00AC60A3"/>
    <w:rsid w:val="00AD5BF8"/>
    <w:rsid w:val="00AE694C"/>
    <w:rsid w:val="00AE7AA4"/>
    <w:rsid w:val="00AF1519"/>
    <w:rsid w:val="00B0160D"/>
    <w:rsid w:val="00B019F9"/>
    <w:rsid w:val="00B0426C"/>
    <w:rsid w:val="00B05550"/>
    <w:rsid w:val="00B06689"/>
    <w:rsid w:val="00B132A1"/>
    <w:rsid w:val="00B1423E"/>
    <w:rsid w:val="00B23B31"/>
    <w:rsid w:val="00B26F4A"/>
    <w:rsid w:val="00B32797"/>
    <w:rsid w:val="00B33858"/>
    <w:rsid w:val="00B353FB"/>
    <w:rsid w:val="00B40150"/>
    <w:rsid w:val="00B41350"/>
    <w:rsid w:val="00B4594E"/>
    <w:rsid w:val="00B51B1E"/>
    <w:rsid w:val="00B601D4"/>
    <w:rsid w:val="00B606F6"/>
    <w:rsid w:val="00B61024"/>
    <w:rsid w:val="00B62A8D"/>
    <w:rsid w:val="00B67C05"/>
    <w:rsid w:val="00B81074"/>
    <w:rsid w:val="00B830F7"/>
    <w:rsid w:val="00B91198"/>
    <w:rsid w:val="00B974B0"/>
    <w:rsid w:val="00B976FD"/>
    <w:rsid w:val="00BB1639"/>
    <w:rsid w:val="00BC1E52"/>
    <w:rsid w:val="00BC30DD"/>
    <w:rsid w:val="00BC5E52"/>
    <w:rsid w:val="00BD38D5"/>
    <w:rsid w:val="00BE0C3C"/>
    <w:rsid w:val="00BE6E0F"/>
    <w:rsid w:val="00BF2FFB"/>
    <w:rsid w:val="00C07C48"/>
    <w:rsid w:val="00C14D38"/>
    <w:rsid w:val="00C17425"/>
    <w:rsid w:val="00C17968"/>
    <w:rsid w:val="00C17B64"/>
    <w:rsid w:val="00C2383B"/>
    <w:rsid w:val="00C339A4"/>
    <w:rsid w:val="00C40228"/>
    <w:rsid w:val="00C4256B"/>
    <w:rsid w:val="00C42A03"/>
    <w:rsid w:val="00C434E5"/>
    <w:rsid w:val="00C475B6"/>
    <w:rsid w:val="00C5284B"/>
    <w:rsid w:val="00C55023"/>
    <w:rsid w:val="00C6445D"/>
    <w:rsid w:val="00C67105"/>
    <w:rsid w:val="00C7075A"/>
    <w:rsid w:val="00C74845"/>
    <w:rsid w:val="00C77A25"/>
    <w:rsid w:val="00C85412"/>
    <w:rsid w:val="00C864C3"/>
    <w:rsid w:val="00C9740D"/>
    <w:rsid w:val="00CA2A17"/>
    <w:rsid w:val="00CA4226"/>
    <w:rsid w:val="00CA4306"/>
    <w:rsid w:val="00CA4A95"/>
    <w:rsid w:val="00CB214B"/>
    <w:rsid w:val="00CC10CD"/>
    <w:rsid w:val="00CC1DE2"/>
    <w:rsid w:val="00CC2F8D"/>
    <w:rsid w:val="00CD6B93"/>
    <w:rsid w:val="00CE4429"/>
    <w:rsid w:val="00CE4EB2"/>
    <w:rsid w:val="00CE51A1"/>
    <w:rsid w:val="00CF36B3"/>
    <w:rsid w:val="00D01884"/>
    <w:rsid w:val="00D06A99"/>
    <w:rsid w:val="00D222F2"/>
    <w:rsid w:val="00D22416"/>
    <w:rsid w:val="00D2400F"/>
    <w:rsid w:val="00D246AE"/>
    <w:rsid w:val="00D26D4A"/>
    <w:rsid w:val="00D30044"/>
    <w:rsid w:val="00D31690"/>
    <w:rsid w:val="00D330D2"/>
    <w:rsid w:val="00D35ACB"/>
    <w:rsid w:val="00D41554"/>
    <w:rsid w:val="00D41ABA"/>
    <w:rsid w:val="00D66564"/>
    <w:rsid w:val="00D76607"/>
    <w:rsid w:val="00D7747A"/>
    <w:rsid w:val="00D8008A"/>
    <w:rsid w:val="00D97919"/>
    <w:rsid w:val="00DA31CB"/>
    <w:rsid w:val="00DA783E"/>
    <w:rsid w:val="00DC0B97"/>
    <w:rsid w:val="00DC4458"/>
    <w:rsid w:val="00DC51B5"/>
    <w:rsid w:val="00DE4AAB"/>
    <w:rsid w:val="00DF33A5"/>
    <w:rsid w:val="00E01D33"/>
    <w:rsid w:val="00E06502"/>
    <w:rsid w:val="00E06657"/>
    <w:rsid w:val="00E20AC6"/>
    <w:rsid w:val="00E33057"/>
    <w:rsid w:val="00E33275"/>
    <w:rsid w:val="00E52C8D"/>
    <w:rsid w:val="00E536BE"/>
    <w:rsid w:val="00E54EBF"/>
    <w:rsid w:val="00E61806"/>
    <w:rsid w:val="00E62DBC"/>
    <w:rsid w:val="00E71631"/>
    <w:rsid w:val="00E71E51"/>
    <w:rsid w:val="00E73C96"/>
    <w:rsid w:val="00E748DF"/>
    <w:rsid w:val="00E91C27"/>
    <w:rsid w:val="00E929DB"/>
    <w:rsid w:val="00E945AC"/>
    <w:rsid w:val="00E953FD"/>
    <w:rsid w:val="00EA5A81"/>
    <w:rsid w:val="00EA74CE"/>
    <w:rsid w:val="00EB0212"/>
    <w:rsid w:val="00EB3686"/>
    <w:rsid w:val="00EB3D35"/>
    <w:rsid w:val="00EC01D2"/>
    <w:rsid w:val="00EC7C9D"/>
    <w:rsid w:val="00ED58E8"/>
    <w:rsid w:val="00ED79BD"/>
    <w:rsid w:val="00EE26E5"/>
    <w:rsid w:val="00EE6D3C"/>
    <w:rsid w:val="00EF0B34"/>
    <w:rsid w:val="00F01EFE"/>
    <w:rsid w:val="00F1268F"/>
    <w:rsid w:val="00F136AB"/>
    <w:rsid w:val="00F1447D"/>
    <w:rsid w:val="00F23CC0"/>
    <w:rsid w:val="00F278A7"/>
    <w:rsid w:val="00F30340"/>
    <w:rsid w:val="00F31687"/>
    <w:rsid w:val="00F35997"/>
    <w:rsid w:val="00F36C71"/>
    <w:rsid w:val="00F40EA6"/>
    <w:rsid w:val="00F42C14"/>
    <w:rsid w:val="00F56798"/>
    <w:rsid w:val="00F700BD"/>
    <w:rsid w:val="00F71BD7"/>
    <w:rsid w:val="00F72AC8"/>
    <w:rsid w:val="00F73415"/>
    <w:rsid w:val="00F87DE9"/>
    <w:rsid w:val="00F915F0"/>
    <w:rsid w:val="00F91CA5"/>
    <w:rsid w:val="00F91CB5"/>
    <w:rsid w:val="00F95ADD"/>
    <w:rsid w:val="00F96E65"/>
    <w:rsid w:val="00F97D1C"/>
    <w:rsid w:val="00FB7AC3"/>
    <w:rsid w:val="00FC69B8"/>
    <w:rsid w:val="00FD4234"/>
    <w:rsid w:val="00FE6AC7"/>
    <w:rsid w:val="00FF093E"/>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awspan">
    <w:name w:val="awspan"/>
    <w:basedOn w:val="DefaultParagraphFont"/>
    <w:rsid w:val="0012445D"/>
  </w:style>
  <w:style w:type="character" w:customStyle="1" w:styleId="highlight">
    <w:name w:val="highlight"/>
    <w:basedOn w:val="DefaultParagraphFont"/>
    <w:rsid w:val="0012445D"/>
  </w:style>
  <w:style w:type="numbering" w:customStyle="1" w:styleId="NoList1">
    <w:name w:val="No List1"/>
    <w:next w:val="NoList"/>
    <w:uiPriority w:val="99"/>
    <w:semiHidden/>
    <w:unhideWhenUsed/>
    <w:rsid w:val="00A36F73"/>
  </w:style>
  <w:style w:type="character" w:styleId="FollowedHyperlink">
    <w:name w:val="FollowedHyperlink"/>
    <w:basedOn w:val="DefaultParagraphFont"/>
    <w:uiPriority w:val="99"/>
    <w:semiHidden/>
    <w:unhideWhenUsed/>
    <w:rsid w:val="00A36F7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005124">
      <w:bodyDiv w:val="1"/>
      <w:marLeft w:val="0"/>
      <w:marRight w:val="0"/>
      <w:marTop w:val="0"/>
      <w:marBottom w:val="0"/>
      <w:divBdr>
        <w:top w:val="none" w:sz="0" w:space="0" w:color="auto"/>
        <w:left w:val="none" w:sz="0" w:space="0" w:color="auto"/>
        <w:bottom w:val="none" w:sz="0" w:space="0" w:color="auto"/>
        <w:right w:val="none" w:sz="0" w:space="0" w:color="auto"/>
      </w:divBdr>
      <w:divsChild>
        <w:div w:id="1007948551">
          <w:marLeft w:val="0"/>
          <w:marRight w:val="0"/>
          <w:marTop w:val="0"/>
          <w:marBottom w:val="0"/>
          <w:divBdr>
            <w:top w:val="none" w:sz="0" w:space="0" w:color="auto"/>
            <w:left w:val="none" w:sz="0" w:space="0" w:color="auto"/>
            <w:bottom w:val="none" w:sz="0" w:space="0" w:color="auto"/>
            <w:right w:val="none" w:sz="0" w:space="0" w:color="auto"/>
          </w:divBdr>
        </w:div>
        <w:div w:id="1873297898">
          <w:marLeft w:val="0"/>
          <w:marRight w:val="0"/>
          <w:marTop w:val="0"/>
          <w:marBottom w:val="0"/>
          <w:divBdr>
            <w:top w:val="none" w:sz="0" w:space="0" w:color="auto"/>
            <w:left w:val="none" w:sz="0" w:space="0" w:color="auto"/>
            <w:bottom w:val="none" w:sz="0" w:space="0" w:color="auto"/>
            <w:right w:val="none" w:sz="0" w:space="0" w:color="auto"/>
          </w:divBdr>
        </w:div>
        <w:div w:id="1305307765">
          <w:marLeft w:val="0"/>
          <w:marRight w:val="0"/>
          <w:marTop w:val="0"/>
          <w:marBottom w:val="0"/>
          <w:divBdr>
            <w:top w:val="none" w:sz="0" w:space="0" w:color="auto"/>
            <w:left w:val="none" w:sz="0" w:space="0" w:color="auto"/>
            <w:bottom w:val="none" w:sz="0" w:space="0" w:color="auto"/>
            <w:right w:val="none" w:sz="0" w:space="0" w:color="auto"/>
          </w:divBdr>
        </w:div>
        <w:div w:id="570701953">
          <w:marLeft w:val="0"/>
          <w:marRight w:val="0"/>
          <w:marTop w:val="0"/>
          <w:marBottom w:val="0"/>
          <w:divBdr>
            <w:top w:val="none" w:sz="0" w:space="0" w:color="auto"/>
            <w:left w:val="none" w:sz="0" w:space="0" w:color="auto"/>
            <w:bottom w:val="none" w:sz="0" w:space="0" w:color="auto"/>
            <w:right w:val="none" w:sz="0" w:space="0" w:color="auto"/>
          </w:divBdr>
        </w:div>
        <w:div w:id="1351293522">
          <w:marLeft w:val="0"/>
          <w:marRight w:val="0"/>
          <w:marTop w:val="0"/>
          <w:marBottom w:val="0"/>
          <w:divBdr>
            <w:top w:val="none" w:sz="0" w:space="0" w:color="auto"/>
            <w:left w:val="none" w:sz="0" w:space="0" w:color="auto"/>
            <w:bottom w:val="none" w:sz="0" w:space="0" w:color="auto"/>
            <w:right w:val="none" w:sz="0" w:space="0" w:color="auto"/>
          </w:divBdr>
        </w:div>
        <w:div w:id="1575703282">
          <w:marLeft w:val="0"/>
          <w:marRight w:val="0"/>
          <w:marTop w:val="0"/>
          <w:marBottom w:val="0"/>
          <w:divBdr>
            <w:top w:val="none" w:sz="0" w:space="0" w:color="auto"/>
            <w:left w:val="none" w:sz="0" w:space="0" w:color="auto"/>
            <w:bottom w:val="none" w:sz="0" w:space="0" w:color="auto"/>
            <w:right w:val="none" w:sz="0" w:space="0" w:color="auto"/>
          </w:divBdr>
        </w:div>
        <w:div w:id="598023291">
          <w:marLeft w:val="0"/>
          <w:marRight w:val="0"/>
          <w:marTop w:val="0"/>
          <w:marBottom w:val="0"/>
          <w:divBdr>
            <w:top w:val="none" w:sz="0" w:space="0" w:color="auto"/>
            <w:left w:val="none" w:sz="0" w:space="0" w:color="auto"/>
            <w:bottom w:val="none" w:sz="0" w:space="0" w:color="auto"/>
            <w:right w:val="none" w:sz="0" w:space="0" w:color="auto"/>
          </w:divBdr>
        </w:div>
        <w:div w:id="693455644">
          <w:marLeft w:val="0"/>
          <w:marRight w:val="0"/>
          <w:marTop w:val="0"/>
          <w:marBottom w:val="0"/>
          <w:divBdr>
            <w:top w:val="none" w:sz="0" w:space="0" w:color="auto"/>
            <w:left w:val="none" w:sz="0" w:space="0" w:color="auto"/>
            <w:bottom w:val="none" w:sz="0" w:space="0" w:color="auto"/>
            <w:right w:val="none" w:sz="0" w:space="0" w:color="auto"/>
          </w:divBdr>
        </w:div>
        <w:div w:id="50688860">
          <w:marLeft w:val="0"/>
          <w:marRight w:val="0"/>
          <w:marTop w:val="0"/>
          <w:marBottom w:val="0"/>
          <w:divBdr>
            <w:top w:val="none" w:sz="0" w:space="0" w:color="auto"/>
            <w:left w:val="none" w:sz="0" w:space="0" w:color="auto"/>
            <w:bottom w:val="none" w:sz="0" w:space="0" w:color="auto"/>
            <w:right w:val="none" w:sz="0" w:space="0" w:color="auto"/>
          </w:divBdr>
        </w:div>
        <w:div w:id="1045132240">
          <w:marLeft w:val="0"/>
          <w:marRight w:val="0"/>
          <w:marTop w:val="0"/>
          <w:marBottom w:val="0"/>
          <w:divBdr>
            <w:top w:val="none" w:sz="0" w:space="0" w:color="auto"/>
            <w:left w:val="none" w:sz="0" w:space="0" w:color="auto"/>
            <w:bottom w:val="none" w:sz="0" w:space="0" w:color="auto"/>
            <w:right w:val="none" w:sz="0" w:space="0" w:color="auto"/>
          </w:divBdr>
        </w:div>
      </w:divsChild>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819078105">
      <w:bodyDiv w:val="1"/>
      <w:marLeft w:val="0"/>
      <w:marRight w:val="0"/>
      <w:marTop w:val="0"/>
      <w:marBottom w:val="0"/>
      <w:divBdr>
        <w:top w:val="none" w:sz="0" w:space="0" w:color="auto"/>
        <w:left w:val="none" w:sz="0" w:space="0" w:color="auto"/>
        <w:bottom w:val="none" w:sz="0" w:space="0" w:color="auto"/>
        <w:right w:val="none" w:sz="0" w:space="0" w:color="auto"/>
      </w:divBdr>
      <w:divsChild>
        <w:div w:id="644507435">
          <w:marLeft w:val="0"/>
          <w:marRight w:val="0"/>
          <w:marTop w:val="0"/>
          <w:marBottom w:val="0"/>
          <w:divBdr>
            <w:top w:val="none" w:sz="0" w:space="0" w:color="auto"/>
            <w:left w:val="none" w:sz="0" w:space="0" w:color="auto"/>
            <w:bottom w:val="none" w:sz="0" w:space="0" w:color="auto"/>
            <w:right w:val="none" w:sz="0" w:space="0" w:color="auto"/>
          </w:divBdr>
        </w:div>
        <w:div w:id="344287583">
          <w:marLeft w:val="0"/>
          <w:marRight w:val="0"/>
          <w:marTop w:val="0"/>
          <w:marBottom w:val="0"/>
          <w:divBdr>
            <w:top w:val="none" w:sz="0" w:space="0" w:color="auto"/>
            <w:left w:val="none" w:sz="0" w:space="0" w:color="auto"/>
            <w:bottom w:val="none" w:sz="0" w:space="0" w:color="auto"/>
            <w:right w:val="none" w:sz="0" w:space="0" w:color="auto"/>
          </w:divBdr>
        </w:div>
        <w:div w:id="104816880">
          <w:marLeft w:val="0"/>
          <w:marRight w:val="0"/>
          <w:marTop w:val="0"/>
          <w:marBottom w:val="0"/>
          <w:divBdr>
            <w:top w:val="none" w:sz="0" w:space="0" w:color="auto"/>
            <w:left w:val="none" w:sz="0" w:space="0" w:color="auto"/>
            <w:bottom w:val="none" w:sz="0" w:space="0" w:color="auto"/>
            <w:right w:val="none" w:sz="0" w:space="0" w:color="auto"/>
          </w:divBdr>
        </w:div>
        <w:div w:id="2071533208">
          <w:marLeft w:val="0"/>
          <w:marRight w:val="0"/>
          <w:marTop w:val="0"/>
          <w:marBottom w:val="0"/>
          <w:divBdr>
            <w:top w:val="none" w:sz="0" w:space="0" w:color="auto"/>
            <w:left w:val="none" w:sz="0" w:space="0" w:color="auto"/>
            <w:bottom w:val="none" w:sz="0" w:space="0" w:color="auto"/>
            <w:right w:val="none" w:sz="0" w:space="0" w:color="auto"/>
          </w:divBdr>
        </w:div>
        <w:div w:id="1176844896">
          <w:marLeft w:val="0"/>
          <w:marRight w:val="0"/>
          <w:marTop w:val="0"/>
          <w:marBottom w:val="0"/>
          <w:divBdr>
            <w:top w:val="none" w:sz="0" w:space="0" w:color="auto"/>
            <w:left w:val="none" w:sz="0" w:space="0" w:color="auto"/>
            <w:bottom w:val="none" w:sz="0" w:space="0" w:color="auto"/>
            <w:right w:val="none" w:sz="0" w:space="0" w:color="auto"/>
          </w:divBdr>
        </w:div>
        <w:div w:id="180433778">
          <w:marLeft w:val="0"/>
          <w:marRight w:val="0"/>
          <w:marTop w:val="0"/>
          <w:marBottom w:val="0"/>
          <w:divBdr>
            <w:top w:val="none" w:sz="0" w:space="0" w:color="auto"/>
            <w:left w:val="none" w:sz="0" w:space="0" w:color="auto"/>
            <w:bottom w:val="none" w:sz="0" w:space="0" w:color="auto"/>
            <w:right w:val="none" w:sz="0" w:space="0" w:color="auto"/>
          </w:divBdr>
        </w:div>
        <w:div w:id="684786056">
          <w:marLeft w:val="0"/>
          <w:marRight w:val="0"/>
          <w:marTop w:val="0"/>
          <w:marBottom w:val="0"/>
          <w:divBdr>
            <w:top w:val="none" w:sz="0" w:space="0" w:color="auto"/>
            <w:left w:val="none" w:sz="0" w:space="0" w:color="auto"/>
            <w:bottom w:val="none" w:sz="0" w:space="0" w:color="auto"/>
            <w:right w:val="none" w:sz="0" w:space="0" w:color="auto"/>
          </w:divBdr>
        </w:div>
        <w:div w:id="1198659146">
          <w:marLeft w:val="0"/>
          <w:marRight w:val="0"/>
          <w:marTop w:val="0"/>
          <w:marBottom w:val="0"/>
          <w:divBdr>
            <w:top w:val="none" w:sz="0" w:space="0" w:color="auto"/>
            <w:left w:val="none" w:sz="0" w:space="0" w:color="auto"/>
            <w:bottom w:val="none" w:sz="0" w:space="0" w:color="auto"/>
            <w:right w:val="none" w:sz="0" w:space="0" w:color="auto"/>
          </w:divBdr>
        </w:div>
        <w:div w:id="624240565">
          <w:marLeft w:val="0"/>
          <w:marRight w:val="0"/>
          <w:marTop w:val="0"/>
          <w:marBottom w:val="0"/>
          <w:divBdr>
            <w:top w:val="none" w:sz="0" w:space="0" w:color="auto"/>
            <w:left w:val="none" w:sz="0" w:space="0" w:color="auto"/>
            <w:bottom w:val="none" w:sz="0" w:space="0" w:color="auto"/>
            <w:right w:val="none" w:sz="0" w:space="0" w:color="auto"/>
          </w:divBdr>
        </w:div>
      </w:divsChild>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291323867">
      <w:bodyDiv w:val="1"/>
      <w:marLeft w:val="0"/>
      <w:marRight w:val="0"/>
      <w:marTop w:val="0"/>
      <w:marBottom w:val="0"/>
      <w:divBdr>
        <w:top w:val="none" w:sz="0" w:space="0" w:color="auto"/>
        <w:left w:val="none" w:sz="0" w:space="0" w:color="auto"/>
        <w:bottom w:val="none" w:sz="0" w:space="0" w:color="auto"/>
        <w:right w:val="none" w:sz="0" w:space="0" w:color="auto"/>
      </w:divBdr>
      <w:divsChild>
        <w:div w:id="500629789">
          <w:marLeft w:val="0"/>
          <w:marRight w:val="0"/>
          <w:marTop w:val="0"/>
          <w:marBottom w:val="0"/>
          <w:divBdr>
            <w:top w:val="none" w:sz="0" w:space="0" w:color="auto"/>
            <w:left w:val="none" w:sz="0" w:space="0" w:color="auto"/>
            <w:bottom w:val="none" w:sz="0" w:space="0" w:color="auto"/>
            <w:right w:val="none" w:sz="0" w:space="0" w:color="auto"/>
          </w:divBdr>
        </w:div>
        <w:div w:id="1266767908">
          <w:marLeft w:val="0"/>
          <w:marRight w:val="0"/>
          <w:marTop w:val="0"/>
          <w:marBottom w:val="0"/>
          <w:divBdr>
            <w:top w:val="none" w:sz="0" w:space="0" w:color="auto"/>
            <w:left w:val="none" w:sz="0" w:space="0" w:color="auto"/>
            <w:bottom w:val="none" w:sz="0" w:space="0" w:color="auto"/>
            <w:right w:val="none" w:sz="0" w:space="0" w:color="auto"/>
          </w:divBdr>
        </w:div>
        <w:div w:id="46805839">
          <w:marLeft w:val="0"/>
          <w:marRight w:val="0"/>
          <w:marTop w:val="0"/>
          <w:marBottom w:val="0"/>
          <w:divBdr>
            <w:top w:val="none" w:sz="0" w:space="0" w:color="auto"/>
            <w:left w:val="none" w:sz="0" w:space="0" w:color="auto"/>
            <w:bottom w:val="none" w:sz="0" w:space="0" w:color="auto"/>
            <w:right w:val="none" w:sz="0" w:space="0" w:color="auto"/>
          </w:divBdr>
        </w:div>
        <w:div w:id="1946960513">
          <w:marLeft w:val="0"/>
          <w:marRight w:val="0"/>
          <w:marTop w:val="0"/>
          <w:marBottom w:val="0"/>
          <w:divBdr>
            <w:top w:val="none" w:sz="0" w:space="0" w:color="auto"/>
            <w:left w:val="none" w:sz="0" w:space="0" w:color="auto"/>
            <w:bottom w:val="none" w:sz="0" w:space="0" w:color="auto"/>
            <w:right w:val="none" w:sz="0" w:space="0" w:color="auto"/>
          </w:divBdr>
        </w:div>
        <w:div w:id="1582174451">
          <w:marLeft w:val="0"/>
          <w:marRight w:val="0"/>
          <w:marTop w:val="0"/>
          <w:marBottom w:val="0"/>
          <w:divBdr>
            <w:top w:val="none" w:sz="0" w:space="0" w:color="auto"/>
            <w:left w:val="none" w:sz="0" w:space="0" w:color="auto"/>
            <w:bottom w:val="none" w:sz="0" w:space="0" w:color="auto"/>
            <w:right w:val="none" w:sz="0" w:space="0" w:color="auto"/>
          </w:divBdr>
        </w:div>
        <w:div w:id="1335574553">
          <w:marLeft w:val="0"/>
          <w:marRight w:val="0"/>
          <w:marTop w:val="0"/>
          <w:marBottom w:val="0"/>
          <w:divBdr>
            <w:top w:val="none" w:sz="0" w:space="0" w:color="auto"/>
            <w:left w:val="none" w:sz="0" w:space="0" w:color="auto"/>
            <w:bottom w:val="none" w:sz="0" w:space="0" w:color="auto"/>
            <w:right w:val="none" w:sz="0" w:space="0" w:color="auto"/>
          </w:divBdr>
        </w:div>
        <w:div w:id="720445730">
          <w:marLeft w:val="0"/>
          <w:marRight w:val="0"/>
          <w:marTop w:val="0"/>
          <w:marBottom w:val="0"/>
          <w:divBdr>
            <w:top w:val="none" w:sz="0" w:space="0" w:color="auto"/>
            <w:left w:val="none" w:sz="0" w:space="0" w:color="auto"/>
            <w:bottom w:val="none" w:sz="0" w:space="0" w:color="auto"/>
            <w:right w:val="none" w:sz="0" w:space="0" w:color="auto"/>
          </w:divBdr>
        </w:div>
        <w:div w:id="439761038">
          <w:marLeft w:val="0"/>
          <w:marRight w:val="0"/>
          <w:marTop w:val="0"/>
          <w:marBottom w:val="0"/>
          <w:divBdr>
            <w:top w:val="none" w:sz="0" w:space="0" w:color="auto"/>
            <w:left w:val="none" w:sz="0" w:space="0" w:color="auto"/>
            <w:bottom w:val="none" w:sz="0" w:space="0" w:color="auto"/>
            <w:right w:val="none" w:sz="0" w:space="0" w:color="auto"/>
          </w:divBdr>
        </w:div>
        <w:div w:id="1207372348">
          <w:marLeft w:val="0"/>
          <w:marRight w:val="0"/>
          <w:marTop w:val="0"/>
          <w:marBottom w:val="0"/>
          <w:divBdr>
            <w:top w:val="none" w:sz="0" w:space="0" w:color="auto"/>
            <w:left w:val="none" w:sz="0" w:space="0" w:color="auto"/>
            <w:bottom w:val="none" w:sz="0" w:space="0" w:color="auto"/>
            <w:right w:val="none" w:sz="0" w:space="0" w:color="auto"/>
          </w:divBdr>
        </w:div>
      </w:divsChild>
    </w:div>
    <w:div w:id="1428767495">
      <w:bodyDiv w:val="1"/>
      <w:marLeft w:val="0"/>
      <w:marRight w:val="0"/>
      <w:marTop w:val="0"/>
      <w:marBottom w:val="0"/>
      <w:divBdr>
        <w:top w:val="none" w:sz="0" w:space="0" w:color="auto"/>
        <w:left w:val="none" w:sz="0" w:space="0" w:color="auto"/>
        <w:bottom w:val="none" w:sz="0" w:space="0" w:color="auto"/>
        <w:right w:val="none" w:sz="0" w:space="0" w:color="auto"/>
      </w:divBdr>
      <w:divsChild>
        <w:div w:id="1512836120">
          <w:marLeft w:val="0"/>
          <w:marRight w:val="0"/>
          <w:marTop w:val="200"/>
          <w:marBottom w:val="200"/>
          <w:divBdr>
            <w:top w:val="single" w:sz="8" w:space="0" w:color="000000"/>
            <w:left w:val="single" w:sz="8" w:space="0" w:color="000000"/>
            <w:bottom w:val="single" w:sz="8" w:space="0" w:color="000000"/>
            <w:right w:val="single" w:sz="8" w:space="0" w:color="000000"/>
          </w:divBdr>
          <w:divsChild>
            <w:div w:id="1368992693">
              <w:marLeft w:val="0"/>
              <w:marRight w:val="0"/>
              <w:marTop w:val="0"/>
              <w:marBottom w:val="0"/>
              <w:divBdr>
                <w:top w:val="none" w:sz="0" w:space="0" w:color="auto"/>
                <w:left w:val="none" w:sz="0" w:space="0" w:color="auto"/>
                <w:bottom w:val="none" w:sz="0" w:space="0" w:color="auto"/>
                <w:right w:val="none" w:sz="0" w:space="0" w:color="auto"/>
              </w:divBdr>
              <w:divsChild>
                <w:div w:id="619454470">
                  <w:marLeft w:val="0"/>
                  <w:marRight w:val="0"/>
                  <w:marTop w:val="0"/>
                  <w:marBottom w:val="0"/>
                  <w:divBdr>
                    <w:top w:val="none" w:sz="0" w:space="0" w:color="auto"/>
                    <w:left w:val="none" w:sz="0" w:space="0" w:color="auto"/>
                    <w:bottom w:val="none" w:sz="0" w:space="0" w:color="auto"/>
                    <w:right w:val="none" w:sz="0" w:space="0" w:color="auto"/>
                  </w:divBdr>
                </w:div>
                <w:div w:id="534150933">
                  <w:marLeft w:val="0"/>
                  <w:marRight w:val="0"/>
                  <w:marTop w:val="0"/>
                  <w:marBottom w:val="0"/>
                  <w:divBdr>
                    <w:top w:val="none" w:sz="0" w:space="0" w:color="auto"/>
                    <w:left w:val="none" w:sz="0" w:space="0" w:color="auto"/>
                    <w:bottom w:val="none" w:sz="0" w:space="0" w:color="auto"/>
                    <w:right w:val="none" w:sz="0" w:space="0" w:color="auto"/>
                  </w:divBdr>
                </w:div>
                <w:div w:id="155728028">
                  <w:marLeft w:val="0"/>
                  <w:marRight w:val="0"/>
                  <w:marTop w:val="0"/>
                  <w:marBottom w:val="0"/>
                  <w:divBdr>
                    <w:top w:val="none" w:sz="0" w:space="0" w:color="auto"/>
                    <w:left w:val="none" w:sz="0" w:space="0" w:color="auto"/>
                    <w:bottom w:val="none" w:sz="0" w:space="0" w:color="auto"/>
                    <w:right w:val="none" w:sz="0" w:space="0" w:color="auto"/>
                  </w:divBdr>
                </w:div>
                <w:div w:id="1507283476">
                  <w:marLeft w:val="0"/>
                  <w:marRight w:val="0"/>
                  <w:marTop w:val="0"/>
                  <w:marBottom w:val="0"/>
                  <w:divBdr>
                    <w:top w:val="none" w:sz="0" w:space="0" w:color="auto"/>
                    <w:left w:val="none" w:sz="0" w:space="0" w:color="auto"/>
                    <w:bottom w:val="none" w:sz="0" w:space="0" w:color="auto"/>
                    <w:right w:val="none" w:sz="0" w:space="0" w:color="auto"/>
                  </w:divBdr>
                </w:div>
                <w:div w:id="1646355360">
                  <w:marLeft w:val="0"/>
                  <w:marRight w:val="0"/>
                  <w:marTop w:val="0"/>
                  <w:marBottom w:val="0"/>
                  <w:divBdr>
                    <w:top w:val="none" w:sz="0" w:space="0" w:color="auto"/>
                    <w:left w:val="none" w:sz="0" w:space="0" w:color="auto"/>
                    <w:bottom w:val="none" w:sz="0" w:space="0" w:color="auto"/>
                    <w:right w:val="none" w:sz="0" w:space="0" w:color="auto"/>
                  </w:divBdr>
                </w:div>
                <w:div w:id="409815600">
                  <w:marLeft w:val="0"/>
                  <w:marRight w:val="0"/>
                  <w:marTop w:val="0"/>
                  <w:marBottom w:val="0"/>
                  <w:divBdr>
                    <w:top w:val="none" w:sz="0" w:space="0" w:color="auto"/>
                    <w:left w:val="none" w:sz="0" w:space="0" w:color="auto"/>
                    <w:bottom w:val="none" w:sz="0" w:space="0" w:color="auto"/>
                    <w:right w:val="none" w:sz="0" w:space="0" w:color="auto"/>
                  </w:divBdr>
                </w:div>
                <w:div w:id="784812017">
                  <w:marLeft w:val="0"/>
                  <w:marRight w:val="0"/>
                  <w:marTop w:val="0"/>
                  <w:marBottom w:val="0"/>
                  <w:divBdr>
                    <w:top w:val="none" w:sz="0" w:space="0" w:color="auto"/>
                    <w:left w:val="none" w:sz="0" w:space="0" w:color="auto"/>
                    <w:bottom w:val="none" w:sz="0" w:space="0" w:color="auto"/>
                    <w:right w:val="none" w:sz="0" w:space="0" w:color="auto"/>
                  </w:divBdr>
                </w:div>
                <w:div w:id="1961833284">
                  <w:marLeft w:val="0"/>
                  <w:marRight w:val="0"/>
                  <w:marTop w:val="0"/>
                  <w:marBottom w:val="0"/>
                  <w:divBdr>
                    <w:top w:val="none" w:sz="0" w:space="0" w:color="auto"/>
                    <w:left w:val="none" w:sz="0" w:space="0" w:color="auto"/>
                    <w:bottom w:val="none" w:sz="0" w:space="0" w:color="auto"/>
                    <w:right w:val="none" w:sz="0" w:space="0" w:color="auto"/>
                  </w:divBdr>
                </w:div>
                <w:div w:id="1554385381">
                  <w:marLeft w:val="0"/>
                  <w:marRight w:val="0"/>
                  <w:marTop w:val="0"/>
                  <w:marBottom w:val="0"/>
                  <w:divBdr>
                    <w:top w:val="none" w:sz="0" w:space="0" w:color="auto"/>
                    <w:left w:val="none" w:sz="0" w:space="0" w:color="auto"/>
                    <w:bottom w:val="none" w:sz="0" w:space="0" w:color="auto"/>
                    <w:right w:val="none" w:sz="0" w:space="0" w:color="auto"/>
                  </w:divBdr>
                </w:div>
                <w:div w:id="737826365">
                  <w:marLeft w:val="0"/>
                  <w:marRight w:val="0"/>
                  <w:marTop w:val="0"/>
                  <w:marBottom w:val="0"/>
                  <w:divBdr>
                    <w:top w:val="none" w:sz="0" w:space="0" w:color="auto"/>
                    <w:left w:val="none" w:sz="0" w:space="0" w:color="auto"/>
                    <w:bottom w:val="none" w:sz="0" w:space="0" w:color="auto"/>
                    <w:right w:val="none" w:sz="0" w:space="0" w:color="auto"/>
                  </w:divBdr>
                </w:div>
                <w:div w:id="400799">
                  <w:marLeft w:val="0"/>
                  <w:marRight w:val="0"/>
                  <w:marTop w:val="0"/>
                  <w:marBottom w:val="0"/>
                  <w:divBdr>
                    <w:top w:val="none" w:sz="0" w:space="0" w:color="auto"/>
                    <w:left w:val="none" w:sz="0" w:space="0" w:color="auto"/>
                    <w:bottom w:val="none" w:sz="0" w:space="0" w:color="auto"/>
                    <w:right w:val="none" w:sz="0" w:space="0" w:color="auto"/>
                  </w:divBdr>
                </w:div>
                <w:div w:id="1925720827">
                  <w:marLeft w:val="0"/>
                  <w:marRight w:val="0"/>
                  <w:marTop w:val="0"/>
                  <w:marBottom w:val="0"/>
                  <w:divBdr>
                    <w:top w:val="none" w:sz="0" w:space="0" w:color="auto"/>
                    <w:left w:val="none" w:sz="0" w:space="0" w:color="auto"/>
                    <w:bottom w:val="none" w:sz="0" w:space="0" w:color="auto"/>
                    <w:right w:val="none" w:sz="0" w:space="0" w:color="auto"/>
                  </w:divBdr>
                </w:div>
                <w:div w:id="1864828789">
                  <w:marLeft w:val="0"/>
                  <w:marRight w:val="0"/>
                  <w:marTop w:val="0"/>
                  <w:marBottom w:val="0"/>
                  <w:divBdr>
                    <w:top w:val="none" w:sz="0" w:space="0" w:color="auto"/>
                    <w:left w:val="none" w:sz="0" w:space="0" w:color="auto"/>
                    <w:bottom w:val="none" w:sz="0" w:space="0" w:color="auto"/>
                    <w:right w:val="none" w:sz="0" w:space="0" w:color="auto"/>
                  </w:divBdr>
                </w:div>
                <w:div w:id="347604764">
                  <w:marLeft w:val="0"/>
                  <w:marRight w:val="0"/>
                  <w:marTop w:val="0"/>
                  <w:marBottom w:val="0"/>
                  <w:divBdr>
                    <w:top w:val="none" w:sz="0" w:space="0" w:color="auto"/>
                    <w:left w:val="none" w:sz="0" w:space="0" w:color="auto"/>
                    <w:bottom w:val="none" w:sz="0" w:space="0" w:color="auto"/>
                    <w:right w:val="none" w:sz="0" w:space="0" w:color="auto"/>
                  </w:divBdr>
                </w:div>
                <w:div w:id="1410228278">
                  <w:marLeft w:val="0"/>
                  <w:marRight w:val="0"/>
                  <w:marTop w:val="0"/>
                  <w:marBottom w:val="0"/>
                  <w:divBdr>
                    <w:top w:val="none" w:sz="0" w:space="0" w:color="auto"/>
                    <w:left w:val="none" w:sz="0" w:space="0" w:color="auto"/>
                    <w:bottom w:val="none" w:sz="0" w:space="0" w:color="auto"/>
                    <w:right w:val="none" w:sz="0" w:space="0" w:color="auto"/>
                  </w:divBdr>
                </w:div>
                <w:div w:id="761612438">
                  <w:marLeft w:val="0"/>
                  <w:marRight w:val="0"/>
                  <w:marTop w:val="0"/>
                  <w:marBottom w:val="0"/>
                  <w:divBdr>
                    <w:top w:val="none" w:sz="0" w:space="0" w:color="auto"/>
                    <w:left w:val="none" w:sz="0" w:space="0" w:color="auto"/>
                    <w:bottom w:val="none" w:sz="0" w:space="0" w:color="auto"/>
                    <w:right w:val="none" w:sz="0" w:space="0" w:color="auto"/>
                  </w:divBdr>
                </w:div>
                <w:div w:id="1103501225">
                  <w:marLeft w:val="0"/>
                  <w:marRight w:val="0"/>
                  <w:marTop w:val="0"/>
                  <w:marBottom w:val="0"/>
                  <w:divBdr>
                    <w:top w:val="none" w:sz="0" w:space="0" w:color="auto"/>
                    <w:left w:val="none" w:sz="0" w:space="0" w:color="auto"/>
                    <w:bottom w:val="none" w:sz="0" w:space="0" w:color="auto"/>
                    <w:right w:val="none" w:sz="0" w:space="0" w:color="auto"/>
                  </w:divBdr>
                </w:div>
                <w:div w:id="1093673159">
                  <w:marLeft w:val="0"/>
                  <w:marRight w:val="0"/>
                  <w:marTop w:val="0"/>
                  <w:marBottom w:val="0"/>
                  <w:divBdr>
                    <w:top w:val="none" w:sz="0" w:space="0" w:color="auto"/>
                    <w:left w:val="none" w:sz="0" w:space="0" w:color="auto"/>
                    <w:bottom w:val="none" w:sz="0" w:space="0" w:color="auto"/>
                    <w:right w:val="none" w:sz="0" w:space="0" w:color="auto"/>
                  </w:divBdr>
                </w:div>
                <w:div w:id="1972007749">
                  <w:marLeft w:val="0"/>
                  <w:marRight w:val="0"/>
                  <w:marTop w:val="0"/>
                  <w:marBottom w:val="0"/>
                  <w:divBdr>
                    <w:top w:val="none" w:sz="0" w:space="0" w:color="auto"/>
                    <w:left w:val="none" w:sz="0" w:space="0" w:color="auto"/>
                    <w:bottom w:val="none" w:sz="0" w:space="0" w:color="auto"/>
                    <w:right w:val="none" w:sz="0" w:space="0" w:color="auto"/>
                  </w:divBdr>
                </w:div>
                <w:div w:id="1106119592">
                  <w:marLeft w:val="0"/>
                  <w:marRight w:val="0"/>
                  <w:marTop w:val="0"/>
                  <w:marBottom w:val="0"/>
                  <w:divBdr>
                    <w:top w:val="none" w:sz="0" w:space="0" w:color="auto"/>
                    <w:left w:val="none" w:sz="0" w:space="0" w:color="auto"/>
                    <w:bottom w:val="none" w:sz="0" w:space="0" w:color="auto"/>
                    <w:right w:val="none" w:sz="0" w:space="0" w:color="auto"/>
                  </w:divBdr>
                </w:div>
                <w:div w:id="1138843009">
                  <w:marLeft w:val="0"/>
                  <w:marRight w:val="0"/>
                  <w:marTop w:val="0"/>
                  <w:marBottom w:val="0"/>
                  <w:divBdr>
                    <w:top w:val="none" w:sz="0" w:space="0" w:color="auto"/>
                    <w:left w:val="none" w:sz="0" w:space="0" w:color="auto"/>
                    <w:bottom w:val="none" w:sz="0" w:space="0" w:color="auto"/>
                    <w:right w:val="none" w:sz="0" w:space="0" w:color="auto"/>
                  </w:divBdr>
                </w:div>
                <w:div w:id="1422872726">
                  <w:marLeft w:val="0"/>
                  <w:marRight w:val="0"/>
                  <w:marTop w:val="0"/>
                  <w:marBottom w:val="0"/>
                  <w:divBdr>
                    <w:top w:val="none" w:sz="0" w:space="0" w:color="auto"/>
                    <w:left w:val="none" w:sz="0" w:space="0" w:color="auto"/>
                    <w:bottom w:val="none" w:sz="0" w:space="0" w:color="auto"/>
                    <w:right w:val="none" w:sz="0" w:space="0" w:color="auto"/>
                  </w:divBdr>
                </w:div>
                <w:div w:id="733167238">
                  <w:marLeft w:val="0"/>
                  <w:marRight w:val="0"/>
                  <w:marTop w:val="0"/>
                  <w:marBottom w:val="0"/>
                  <w:divBdr>
                    <w:top w:val="none" w:sz="0" w:space="0" w:color="auto"/>
                    <w:left w:val="none" w:sz="0" w:space="0" w:color="auto"/>
                    <w:bottom w:val="none" w:sz="0" w:space="0" w:color="auto"/>
                    <w:right w:val="none" w:sz="0" w:space="0" w:color="auto"/>
                  </w:divBdr>
                </w:div>
                <w:div w:id="801462604">
                  <w:marLeft w:val="0"/>
                  <w:marRight w:val="0"/>
                  <w:marTop w:val="0"/>
                  <w:marBottom w:val="0"/>
                  <w:divBdr>
                    <w:top w:val="none" w:sz="0" w:space="0" w:color="auto"/>
                    <w:left w:val="none" w:sz="0" w:space="0" w:color="auto"/>
                    <w:bottom w:val="none" w:sz="0" w:space="0" w:color="auto"/>
                    <w:right w:val="none" w:sz="0" w:space="0" w:color="auto"/>
                  </w:divBdr>
                </w:div>
                <w:div w:id="1507474723">
                  <w:marLeft w:val="0"/>
                  <w:marRight w:val="0"/>
                  <w:marTop w:val="0"/>
                  <w:marBottom w:val="0"/>
                  <w:divBdr>
                    <w:top w:val="none" w:sz="0" w:space="0" w:color="auto"/>
                    <w:left w:val="none" w:sz="0" w:space="0" w:color="auto"/>
                    <w:bottom w:val="none" w:sz="0" w:space="0" w:color="auto"/>
                    <w:right w:val="none" w:sz="0" w:space="0" w:color="auto"/>
                  </w:divBdr>
                </w:div>
                <w:div w:id="1878883649">
                  <w:marLeft w:val="0"/>
                  <w:marRight w:val="0"/>
                  <w:marTop w:val="0"/>
                  <w:marBottom w:val="0"/>
                  <w:divBdr>
                    <w:top w:val="none" w:sz="0" w:space="0" w:color="auto"/>
                    <w:left w:val="none" w:sz="0" w:space="0" w:color="auto"/>
                    <w:bottom w:val="none" w:sz="0" w:space="0" w:color="auto"/>
                    <w:right w:val="none" w:sz="0" w:space="0" w:color="auto"/>
                  </w:divBdr>
                </w:div>
                <w:div w:id="1532455069">
                  <w:marLeft w:val="0"/>
                  <w:marRight w:val="0"/>
                  <w:marTop w:val="0"/>
                  <w:marBottom w:val="0"/>
                  <w:divBdr>
                    <w:top w:val="none" w:sz="0" w:space="0" w:color="auto"/>
                    <w:left w:val="none" w:sz="0" w:space="0" w:color="auto"/>
                    <w:bottom w:val="none" w:sz="0" w:space="0" w:color="auto"/>
                    <w:right w:val="none" w:sz="0" w:space="0" w:color="auto"/>
                  </w:divBdr>
                </w:div>
                <w:div w:id="123550545">
                  <w:marLeft w:val="0"/>
                  <w:marRight w:val="0"/>
                  <w:marTop w:val="0"/>
                  <w:marBottom w:val="0"/>
                  <w:divBdr>
                    <w:top w:val="none" w:sz="0" w:space="0" w:color="auto"/>
                    <w:left w:val="none" w:sz="0" w:space="0" w:color="auto"/>
                    <w:bottom w:val="none" w:sz="0" w:space="0" w:color="auto"/>
                    <w:right w:val="none" w:sz="0" w:space="0" w:color="auto"/>
                  </w:divBdr>
                </w:div>
                <w:div w:id="902374370">
                  <w:marLeft w:val="0"/>
                  <w:marRight w:val="0"/>
                  <w:marTop w:val="0"/>
                  <w:marBottom w:val="0"/>
                  <w:divBdr>
                    <w:top w:val="none" w:sz="0" w:space="0" w:color="auto"/>
                    <w:left w:val="none" w:sz="0" w:space="0" w:color="auto"/>
                    <w:bottom w:val="none" w:sz="0" w:space="0" w:color="auto"/>
                    <w:right w:val="none" w:sz="0" w:space="0" w:color="auto"/>
                  </w:divBdr>
                </w:div>
                <w:div w:id="781847226">
                  <w:marLeft w:val="0"/>
                  <w:marRight w:val="0"/>
                  <w:marTop w:val="0"/>
                  <w:marBottom w:val="0"/>
                  <w:divBdr>
                    <w:top w:val="none" w:sz="0" w:space="0" w:color="auto"/>
                    <w:left w:val="none" w:sz="0" w:space="0" w:color="auto"/>
                    <w:bottom w:val="none" w:sz="0" w:space="0" w:color="auto"/>
                    <w:right w:val="none" w:sz="0" w:space="0" w:color="auto"/>
                  </w:divBdr>
                </w:div>
                <w:div w:id="4289906">
                  <w:marLeft w:val="0"/>
                  <w:marRight w:val="0"/>
                  <w:marTop w:val="0"/>
                  <w:marBottom w:val="0"/>
                  <w:divBdr>
                    <w:top w:val="none" w:sz="0" w:space="0" w:color="auto"/>
                    <w:left w:val="none" w:sz="0" w:space="0" w:color="auto"/>
                    <w:bottom w:val="none" w:sz="0" w:space="0" w:color="auto"/>
                    <w:right w:val="none" w:sz="0" w:space="0" w:color="auto"/>
                  </w:divBdr>
                </w:div>
                <w:div w:id="1068573836">
                  <w:marLeft w:val="0"/>
                  <w:marRight w:val="0"/>
                  <w:marTop w:val="0"/>
                  <w:marBottom w:val="0"/>
                  <w:divBdr>
                    <w:top w:val="none" w:sz="0" w:space="0" w:color="auto"/>
                    <w:left w:val="none" w:sz="0" w:space="0" w:color="auto"/>
                    <w:bottom w:val="none" w:sz="0" w:space="0" w:color="auto"/>
                    <w:right w:val="none" w:sz="0" w:space="0" w:color="auto"/>
                  </w:divBdr>
                </w:div>
                <w:div w:id="555512991">
                  <w:marLeft w:val="0"/>
                  <w:marRight w:val="0"/>
                  <w:marTop w:val="0"/>
                  <w:marBottom w:val="0"/>
                  <w:divBdr>
                    <w:top w:val="none" w:sz="0" w:space="0" w:color="auto"/>
                    <w:left w:val="none" w:sz="0" w:space="0" w:color="auto"/>
                    <w:bottom w:val="none" w:sz="0" w:space="0" w:color="auto"/>
                    <w:right w:val="none" w:sz="0" w:space="0" w:color="auto"/>
                  </w:divBdr>
                </w:div>
                <w:div w:id="796799276">
                  <w:marLeft w:val="0"/>
                  <w:marRight w:val="0"/>
                  <w:marTop w:val="0"/>
                  <w:marBottom w:val="0"/>
                  <w:divBdr>
                    <w:top w:val="none" w:sz="0" w:space="0" w:color="auto"/>
                    <w:left w:val="none" w:sz="0" w:space="0" w:color="auto"/>
                    <w:bottom w:val="none" w:sz="0" w:space="0" w:color="auto"/>
                    <w:right w:val="none" w:sz="0" w:space="0" w:color="auto"/>
                  </w:divBdr>
                </w:div>
                <w:div w:id="2135445043">
                  <w:marLeft w:val="0"/>
                  <w:marRight w:val="0"/>
                  <w:marTop w:val="0"/>
                  <w:marBottom w:val="0"/>
                  <w:divBdr>
                    <w:top w:val="none" w:sz="0" w:space="0" w:color="auto"/>
                    <w:left w:val="none" w:sz="0" w:space="0" w:color="auto"/>
                    <w:bottom w:val="none" w:sz="0" w:space="0" w:color="auto"/>
                    <w:right w:val="none" w:sz="0" w:space="0" w:color="auto"/>
                  </w:divBdr>
                </w:div>
                <w:div w:id="494535756">
                  <w:marLeft w:val="0"/>
                  <w:marRight w:val="0"/>
                  <w:marTop w:val="0"/>
                  <w:marBottom w:val="0"/>
                  <w:divBdr>
                    <w:top w:val="none" w:sz="0" w:space="0" w:color="auto"/>
                    <w:left w:val="none" w:sz="0" w:space="0" w:color="auto"/>
                    <w:bottom w:val="none" w:sz="0" w:space="0" w:color="auto"/>
                    <w:right w:val="none" w:sz="0" w:space="0" w:color="auto"/>
                  </w:divBdr>
                </w:div>
                <w:div w:id="1810317577">
                  <w:marLeft w:val="0"/>
                  <w:marRight w:val="0"/>
                  <w:marTop w:val="0"/>
                  <w:marBottom w:val="0"/>
                  <w:divBdr>
                    <w:top w:val="none" w:sz="0" w:space="0" w:color="auto"/>
                    <w:left w:val="none" w:sz="0" w:space="0" w:color="auto"/>
                    <w:bottom w:val="none" w:sz="0" w:space="0" w:color="auto"/>
                    <w:right w:val="none" w:sz="0" w:space="0" w:color="auto"/>
                  </w:divBdr>
                </w:div>
                <w:div w:id="121460184">
                  <w:marLeft w:val="0"/>
                  <w:marRight w:val="0"/>
                  <w:marTop w:val="0"/>
                  <w:marBottom w:val="0"/>
                  <w:divBdr>
                    <w:top w:val="none" w:sz="0" w:space="0" w:color="auto"/>
                    <w:left w:val="none" w:sz="0" w:space="0" w:color="auto"/>
                    <w:bottom w:val="none" w:sz="0" w:space="0" w:color="auto"/>
                    <w:right w:val="none" w:sz="0" w:space="0" w:color="auto"/>
                  </w:divBdr>
                </w:div>
                <w:div w:id="1765372801">
                  <w:marLeft w:val="0"/>
                  <w:marRight w:val="0"/>
                  <w:marTop w:val="0"/>
                  <w:marBottom w:val="0"/>
                  <w:divBdr>
                    <w:top w:val="none" w:sz="0" w:space="0" w:color="auto"/>
                    <w:left w:val="none" w:sz="0" w:space="0" w:color="auto"/>
                    <w:bottom w:val="none" w:sz="0" w:space="0" w:color="auto"/>
                    <w:right w:val="none" w:sz="0" w:space="0" w:color="auto"/>
                  </w:divBdr>
                </w:div>
                <w:div w:id="1167939653">
                  <w:marLeft w:val="0"/>
                  <w:marRight w:val="0"/>
                  <w:marTop w:val="0"/>
                  <w:marBottom w:val="0"/>
                  <w:divBdr>
                    <w:top w:val="none" w:sz="0" w:space="0" w:color="auto"/>
                    <w:left w:val="none" w:sz="0" w:space="0" w:color="auto"/>
                    <w:bottom w:val="none" w:sz="0" w:space="0" w:color="auto"/>
                    <w:right w:val="none" w:sz="0" w:space="0" w:color="auto"/>
                  </w:divBdr>
                </w:div>
                <w:div w:id="179308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130520">
          <w:marLeft w:val="0"/>
          <w:marRight w:val="0"/>
          <w:marTop w:val="200"/>
          <w:marBottom w:val="200"/>
          <w:divBdr>
            <w:top w:val="single" w:sz="8" w:space="0" w:color="000000"/>
            <w:left w:val="single" w:sz="8" w:space="0" w:color="000000"/>
            <w:bottom w:val="single" w:sz="8" w:space="0" w:color="000000"/>
            <w:right w:val="single" w:sz="8" w:space="0" w:color="000000"/>
          </w:divBdr>
          <w:divsChild>
            <w:div w:id="1366909741">
              <w:marLeft w:val="0"/>
              <w:marRight w:val="0"/>
              <w:marTop w:val="0"/>
              <w:marBottom w:val="0"/>
              <w:divBdr>
                <w:top w:val="none" w:sz="0" w:space="0" w:color="auto"/>
                <w:left w:val="none" w:sz="0" w:space="0" w:color="auto"/>
                <w:bottom w:val="none" w:sz="0" w:space="0" w:color="auto"/>
                <w:right w:val="none" w:sz="0" w:space="0" w:color="auto"/>
              </w:divBdr>
              <w:divsChild>
                <w:div w:id="1840610257">
                  <w:marLeft w:val="0"/>
                  <w:marRight w:val="0"/>
                  <w:marTop w:val="0"/>
                  <w:marBottom w:val="0"/>
                  <w:divBdr>
                    <w:top w:val="none" w:sz="0" w:space="0" w:color="auto"/>
                    <w:left w:val="none" w:sz="0" w:space="0" w:color="auto"/>
                    <w:bottom w:val="none" w:sz="0" w:space="0" w:color="auto"/>
                    <w:right w:val="none" w:sz="0" w:space="0" w:color="auto"/>
                  </w:divBdr>
                </w:div>
                <w:div w:id="946736933">
                  <w:marLeft w:val="0"/>
                  <w:marRight w:val="0"/>
                  <w:marTop w:val="0"/>
                  <w:marBottom w:val="0"/>
                  <w:divBdr>
                    <w:top w:val="none" w:sz="0" w:space="0" w:color="auto"/>
                    <w:left w:val="none" w:sz="0" w:space="0" w:color="auto"/>
                    <w:bottom w:val="none" w:sz="0" w:space="0" w:color="auto"/>
                    <w:right w:val="none" w:sz="0" w:space="0" w:color="auto"/>
                  </w:divBdr>
                </w:div>
                <w:div w:id="438960231">
                  <w:marLeft w:val="0"/>
                  <w:marRight w:val="0"/>
                  <w:marTop w:val="0"/>
                  <w:marBottom w:val="0"/>
                  <w:divBdr>
                    <w:top w:val="none" w:sz="0" w:space="0" w:color="auto"/>
                    <w:left w:val="none" w:sz="0" w:space="0" w:color="auto"/>
                    <w:bottom w:val="none" w:sz="0" w:space="0" w:color="auto"/>
                    <w:right w:val="none" w:sz="0" w:space="0" w:color="auto"/>
                  </w:divBdr>
                </w:div>
                <w:div w:id="1720006789">
                  <w:marLeft w:val="0"/>
                  <w:marRight w:val="0"/>
                  <w:marTop w:val="0"/>
                  <w:marBottom w:val="0"/>
                  <w:divBdr>
                    <w:top w:val="none" w:sz="0" w:space="0" w:color="auto"/>
                    <w:left w:val="none" w:sz="0" w:space="0" w:color="auto"/>
                    <w:bottom w:val="none" w:sz="0" w:space="0" w:color="auto"/>
                    <w:right w:val="none" w:sz="0" w:space="0" w:color="auto"/>
                  </w:divBdr>
                </w:div>
                <w:div w:id="1846630824">
                  <w:marLeft w:val="0"/>
                  <w:marRight w:val="0"/>
                  <w:marTop w:val="0"/>
                  <w:marBottom w:val="0"/>
                  <w:divBdr>
                    <w:top w:val="none" w:sz="0" w:space="0" w:color="auto"/>
                    <w:left w:val="none" w:sz="0" w:space="0" w:color="auto"/>
                    <w:bottom w:val="none" w:sz="0" w:space="0" w:color="auto"/>
                    <w:right w:val="none" w:sz="0" w:space="0" w:color="auto"/>
                  </w:divBdr>
                </w:div>
                <w:div w:id="686293391">
                  <w:marLeft w:val="0"/>
                  <w:marRight w:val="0"/>
                  <w:marTop w:val="0"/>
                  <w:marBottom w:val="0"/>
                  <w:divBdr>
                    <w:top w:val="none" w:sz="0" w:space="0" w:color="auto"/>
                    <w:left w:val="none" w:sz="0" w:space="0" w:color="auto"/>
                    <w:bottom w:val="none" w:sz="0" w:space="0" w:color="auto"/>
                    <w:right w:val="none" w:sz="0" w:space="0" w:color="auto"/>
                  </w:divBdr>
                </w:div>
                <w:div w:id="1128932464">
                  <w:marLeft w:val="0"/>
                  <w:marRight w:val="0"/>
                  <w:marTop w:val="0"/>
                  <w:marBottom w:val="0"/>
                  <w:divBdr>
                    <w:top w:val="none" w:sz="0" w:space="0" w:color="auto"/>
                    <w:left w:val="none" w:sz="0" w:space="0" w:color="auto"/>
                    <w:bottom w:val="none" w:sz="0" w:space="0" w:color="auto"/>
                    <w:right w:val="none" w:sz="0" w:space="0" w:color="auto"/>
                  </w:divBdr>
                </w:div>
                <w:div w:id="1731999081">
                  <w:marLeft w:val="0"/>
                  <w:marRight w:val="0"/>
                  <w:marTop w:val="0"/>
                  <w:marBottom w:val="0"/>
                  <w:divBdr>
                    <w:top w:val="none" w:sz="0" w:space="0" w:color="auto"/>
                    <w:left w:val="none" w:sz="0" w:space="0" w:color="auto"/>
                    <w:bottom w:val="none" w:sz="0" w:space="0" w:color="auto"/>
                    <w:right w:val="none" w:sz="0" w:space="0" w:color="auto"/>
                  </w:divBdr>
                </w:div>
                <w:div w:id="623577888">
                  <w:marLeft w:val="0"/>
                  <w:marRight w:val="0"/>
                  <w:marTop w:val="0"/>
                  <w:marBottom w:val="0"/>
                  <w:divBdr>
                    <w:top w:val="none" w:sz="0" w:space="0" w:color="auto"/>
                    <w:left w:val="none" w:sz="0" w:space="0" w:color="auto"/>
                    <w:bottom w:val="none" w:sz="0" w:space="0" w:color="auto"/>
                    <w:right w:val="none" w:sz="0" w:space="0" w:color="auto"/>
                  </w:divBdr>
                </w:div>
                <w:div w:id="1288927320">
                  <w:marLeft w:val="0"/>
                  <w:marRight w:val="0"/>
                  <w:marTop w:val="0"/>
                  <w:marBottom w:val="0"/>
                  <w:divBdr>
                    <w:top w:val="none" w:sz="0" w:space="0" w:color="auto"/>
                    <w:left w:val="none" w:sz="0" w:space="0" w:color="auto"/>
                    <w:bottom w:val="none" w:sz="0" w:space="0" w:color="auto"/>
                    <w:right w:val="none" w:sz="0" w:space="0" w:color="auto"/>
                  </w:divBdr>
                </w:div>
                <w:div w:id="1636518743">
                  <w:marLeft w:val="0"/>
                  <w:marRight w:val="0"/>
                  <w:marTop w:val="0"/>
                  <w:marBottom w:val="0"/>
                  <w:divBdr>
                    <w:top w:val="none" w:sz="0" w:space="0" w:color="auto"/>
                    <w:left w:val="none" w:sz="0" w:space="0" w:color="auto"/>
                    <w:bottom w:val="none" w:sz="0" w:space="0" w:color="auto"/>
                    <w:right w:val="none" w:sz="0" w:space="0" w:color="auto"/>
                  </w:divBdr>
                </w:div>
                <w:div w:id="2012102896">
                  <w:marLeft w:val="0"/>
                  <w:marRight w:val="0"/>
                  <w:marTop w:val="0"/>
                  <w:marBottom w:val="0"/>
                  <w:divBdr>
                    <w:top w:val="none" w:sz="0" w:space="0" w:color="auto"/>
                    <w:left w:val="none" w:sz="0" w:space="0" w:color="auto"/>
                    <w:bottom w:val="none" w:sz="0" w:space="0" w:color="auto"/>
                    <w:right w:val="none" w:sz="0" w:space="0" w:color="auto"/>
                  </w:divBdr>
                </w:div>
                <w:div w:id="1652320373">
                  <w:marLeft w:val="0"/>
                  <w:marRight w:val="0"/>
                  <w:marTop w:val="0"/>
                  <w:marBottom w:val="0"/>
                  <w:divBdr>
                    <w:top w:val="none" w:sz="0" w:space="0" w:color="auto"/>
                    <w:left w:val="none" w:sz="0" w:space="0" w:color="auto"/>
                    <w:bottom w:val="none" w:sz="0" w:space="0" w:color="auto"/>
                    <w:right w:val="none" w:sz="0" w:space="0" w:color="auto"/>
                  </w:divBdr>
                </w:div>
                <w:div w:id="1857495153">
                  <w:marLeft w:val="0"/>
                  <w:marRight w:val="0"/>
                  <w:marTop w:val="0"/>
                  <w:marBottom w:val="0"/>
                  <w:divBdr>
                    <w:top w:val="none" w:sz="0" w:space="0" w:color="auto"/>
                    <w:left w:val="none" w:sz="0" w:space="0" w:color="auto"/>
                    <w:bottom w:val="none" w:sz="0" w:space="0" w:color="auto"/>
                    <w:right w:val="none" w:sz="0" w:space="0" w:color="auto"/>
                  </w:divBdr>
                </w:div>
                <w:div w:id="521013992">
                  <w:marLeft w:val="0"/>
                  <w:marRight w:val="0"/>
                  <w:marTop w:val="0"/>
                  <w:marBottom w:val="0"/>
                  <w:divBdr>
                    <w:top w:val="none" w:sz="0" w:space="0" w:color="auto"/>
                    <w:left w:val="none" w:sz="0" w:space="0" w:color="auto"/>
                    <w:bottom w:val="none" w:sz="0" w:space="0" w:color="auto"/>
                    <w:right w:val="none" w:sz="0" w:space="0" w:color="auto"/>
                  </w:divBdr>
                </w:div>
                <w:div w:id="1743872425">
                  <w:marLeft w:val="0"/>
                  <w:marRight w:val="0"/>
                  <w:marTop w:val="0"/>
                  <w:marBottom w:val="0"/>
                  <w:divBdr>
                    <w:top w:val="none" w:sz="0" w:space="0" w:color="auto"/>
                    <w:left w:val="none" w:sz="0" w:space="0" w:color="auto"/>
                    <w:bottom w:val="none" w:sz="0" w:space="0" w:color="auto"/>
                    <w:right w:val="none" w:sz="0" w:space="0" w:color="auto"/>
                  </w:divBdr>
                </w:div>
                <w:div w:id="754858926">
                  <w:marLeft w:val="0"/>
                  <w:marRight w:val="0"/>
                  <w:marTop w:val="0"/>
                  <w:marBottom w:val="0"/>
                  <w:divBdr>
                    <w:top w:val="none" w:sz="0" w:space="0" w:color="auto"/>
                    <w:left w:val="none" w:sz="0" w:space="0" w:color="auto"/>
                    <w:bottom w:val="none" w:sz="0" w:space="0" w:color="auto"/>
                    <w:right w:val="none" w:sz="0" w:space="0" w:color="auto"/>
                  </w:divBdr>
                </w:div>
                <w:div w:id="621497831">
                  <w:marLeft w:val="0"/>
                  <w:marRight w:val="0"/>
                  <w:marTop w:val="0"/>
                  <w:marBottom w:val="0"/>
                  <w:divBdr>
                    <w:top w:val="none" w:sz="0" w:space="0" w:color="auto"/>
                    <w:left w:val="none" w:sz="0" w:space="0" w:color="auto"/>
                    <w:bottom w:val="none" w:sz="0" w:space="0" w:color="auto"/>
                    <w:right w:val="none" w:sz="0" w:space="0" w:color="auto"/>
                  </w:divBdr>
                </w:div>
                <w:div w:id="791290178">
                  <w:marLeft w:val="0"/>
                  <w:marRight w:val="0"/>
                  <w:marTop w:val="0"/>
                  <w:marBottom w:val="0"/>
                  <w:divBdr>
                    <w:top w:val="none" w:sz="0" w:space="0" w:color="auto"/>
                    <w:left w:val="none" w:sz="0" w:space="0" w:color="auto"/>
                    <w:bottom w:val="none" w:sz="0" w:space="0" w:color="auto"/>
                    <w:right w:val="none" w:sz="0" w:space="0" w:color="auto"/>
                  </w:divBdr>
                </w:div>
                <w:div w:id="1810592501">
                  <w:marLeft w:val="0"/>
                  <w:marRight w:val="0"/>
                  <w:marTop w:val="0"/>
                  <w:marBottom w:val="0"/>
                  <w:divBdr>
                    <w:top w:val="none" w:sz="0" w:space="0" w:color="auto"/>
                    <w:left w:val="none" w:sz="0" w:space="0" w:color="auto"/>
                    <w:bottom w:val="none" w:sz="0" w:space="0" w:color="auto"/>
                    <w:right w:val="none" w:sz="0" w:space="0" w:color="auto"/>
                  </w:divBdr>
                </w:div>
                <w:div w:id="955479168">
                  <w:marLeft w:val="0"/>
                  <w:marRight w:val="0"/>
                  <w:marTop w:val="0"/>
                  <w:marBottom w:val="0"/>
                  <w:divBdr>
                    <w:top w:val="none" w:sz="0" w:space="0" w:color="auto"/>
                    <w:left w:val="none" w:sz="0" w:space="0" w:color="auto"/>
                    <w:bottom w:val="none" w:sz="0" w:space="0" w:color="auto"/>
                    <w:right w:val="none" w:sz="0" w:space="0" w:color="auto"/>
                  </w:divBdr>
                </w:div>
                <w:div w:id="164707089">
                  <w:marLeft w:val="0"/>
                  <w:marRight w:val="0"/>
                  <w:marTop w:val="0"/>
                  <w:marBottom w:val="0"/>
                  <w:divBdr>
                    <w:top w:val="none" w:sz="0" w:space="0" w:color="auto"/>
                    <w:left w:val="none" w:sz="0" w:space="0" w:color="auto"/>
                    <w:bottom w:val="none" w:sz="0" w:space="0" w:color="auto"/>
                    <w:right w:val="none" w:sz="0" w:space="0" w:color="auto"/>
                  </w:divBdr>
                </w:div>
                <w:div w:id="390471818">
                  <w:marLeft w:val="0"/>
                  <w:marRight w:val="0"/>
                  <w:marTop w:val="0"/>
                  <w:marBottom w:val="0"/>
                  <w:divBdr>
                    <w:top w:val="none" w:sz="0" w:space="0" w:color="auto"/>
                    <w:left w:val="none" w:sz="0" w:space="0" w:color="auto"/>
                    <w:bottom w:val="none" w:sz="0" w:space="0" w:color="auto"/>
                    <w:right w:val="none" w:sz="0" w:space="0" w:color="auto"/>
                  </w:divBdr>
                </w:div>
                <w:div w:id="1535465106">
                  <w:marLeft w:val="0"/>
                  <w:marRight w:val="0"/>
                  <w:marTop w:val="0"/>
                  <w:marBottom w:val="0"/>
                  <w:divBdr>
                    <w:top w:val="none" w:sz="0" w:space="0" w:color="auto"/>
                    <w:left w:val="none" w:sz="0" w:space="0" w:color="auto"/>
                    <w:bottom w:val="none" w:sz="0" w:space="0" w:color="auto"/>
                    <w:right w:val="none" w:sz="0" w:space="0" w:color="auto"/>
                  </w:divBdr>
                </w:div>
                <w:div w:id="794983954">
                  <w:marLeft w:val="0"/>
                  <w:marRight w:val="0"/>
                  <w:marTop w:val="0"/>
                  <w:marBottom w:val="0"/>
                  <w:divBdr>
                    <w:top w:val="none" w:sz="0" w:space="0" w:color="auto"/>
                    <w:left w:val="none" w:sz="0" w:space="0" w:color="auto"/>
                    <w:bottom w:val="none" w:sz="0" w:space="0" w:color="auto"/>
                    <w:right w:val="none" w:sz="0" w:space="0" w:color="auto"/>
                  </w:divBdr>
                </w:div>
                <w:div w:id="478302883">
                  <w:marLeft w:val="0"/>
                  <w:marRight w:val="0"/>
                  <w:marTop w:val="0"/>
                  <w:marBottom w:val="0"/>
                  <w:divBdr>
                    <w:top w:val="none" w:sz="0" w:space="0" w:color="auto"/>
                    <w:left w:val="none" w:sz="0" w:space="0" w:color="auto"/>
                    <w:bottom w:val="none" w:sz="0" w:space="0" w:color="auto"/>
                    <w:right w:val="none" w:sz="0" w:space="0" w:color="auto"/>
                  </w:divBdr>
                </w:div>
                <w:div w:id="1576091573">
                  <w:marLeft w:val="0"/>
                  <w:marRight w:val="0"/>
                  <w:marTop w:val="0"/>
                  <w:marBottom w:val="0"/>
                  <w:divBdr>
                    <w:top w:val="none" w:sz="0" w:space="0" w:color="auto"/>
                    <w:left w:val="none" w:sz="0" w:space="0" w:color="auto"/>
                    <w:bottom w:val="none" w:sz="0" w:space="0" w:color="auto"/>
                    <w:right w:val="none" w:sz="0" w:space="0" w:color="auto"/>
                  </w:divBdr>
                </w:div>
                <w:div w:id="785543068">
                  <w:marLeft w:val="0"/>
                  <w:marRight w:val="0"/>
                  <w:marTop w:val="0"/>
                  <w:marBottom w:val="0"/>
                  <w:divBdr>
                    <w:top w:val="none" w:sz="0" w:space="0" w:color="auto"/>
                    <w:left w:val="none" w:sz="0" w:space="0" w:color="auto"/>
                    <w:bottom w:val="none" w:sz="0" w:space="0" w:color="auto"/>
                    <w:right w:val="none" w:sz="0" w:space="0" w:color="auto"/>
                  </w:divBdr>
                </w:div>
                <w:div w:id="1855144650">
                  <w:marLeft w:val="0"/>
                  <w:marRight w:val="0"/>
                  <w:marTop w:val="0"/>
                  <w:marBottom w:val="0"/>
                  <w:divBdr>
                    <w:top w:val="none" w:sz="0" w:space="0" w:color="auto"/>
                    <w:left w:val="none" w:sz="0" w:space="0" w:color="auto"/>
                    <w:bottom w:val="none" w:sz="0" w:space="0" w:color="auto"/>
                    <w:right w:val="none" w:sz="0" w:space="0" w:color="auto"/>
                  </w:divBdr>
                </w:div>
                <w:div w:id="1560897989">
                  <w:marLeft w:val="0"/>
                  <w:marRight w:val="0"/>
                  <w:marTop w:val="0"/>
                  <w:marBottom w:val="0"/>
                  <w:divBdr>
                    <w:top w:val="none" w:sz="0" w:space="0" w:color="auto"/>
                    <w:left w:val="none" w:sz="0" w:space="0" w:color="auto"/>
                    <w:bottom w:val="none" w:sz="0" w:space="0" w:color="auto"/>
                    <w:right w:val="none" w:sz="0" w:space="0" w:color="auto"/>
                  </w:divBdr>
                </w:div>
                <w:div w:id="1554123607">
                  <w:marLeft w:val="0"/>
                  <w:marRight w:val="0"/>
                  <w:marTop w:val="0"/>
                  <w:marBottom w:val="0"/>
                  <w:divBdr>
                    <w:top w:val="none" w:sz="0" w:space="0" w:color="auto"/>
                    <w:left w:val="none" w:sz="0" w:space="0" w:color="auto"/>
                    <w:bottom w:val="none" w:sz="0" w:space="0" w:color="auto"/>
                    <w:right w:val="none" w:sz="0" w:space="0" w:color="auto"/>
                  </w:divBdr>
                </w:div>
                <w:div w:id="298537961">
                  <w:marLeft w:val="0"/>
                  <w:marRight w:val="0"/>
                  <w:marTop w:val="0"/>
                  <w:marBottom w:val="0"/>
                  <w:divBdr>
                    <w:top w:val="none" w:sz="0" w:space="0" w:color="auto"/>
                    <w:left w:val="none" w:sz="0" w:space="0" w:color="auto"/>
                    <w:bottom w:val="none" w:sz="0" w:space="0" w:color="auto"/>
                    <w:right w:val="none" w:sz="0" w:space="0" w:color="auto"/>
                  </w:divBdr>
                </w:div>
                <w:div w:id="842933723">
                  <w:marLeft w:val="0"/>
                  <w:marRight w:val="0"/>
                  <w:marTop w:val="0"/>
                  <w:marBottom w:val="0"/>
                  <w:divBdr>
                    <w:top w:val="none" w:sz="0" w:space="0" w:color="auto"/>
                    <w:left w:val="none" w:sz="0" w:space="0" w:color="auto"/>
                    <w:bottom w:val="none" w:sz="0" w:space="0" w:color="auto"/>
                    <w:right w:val="none" w:sz="0" w:space="0" w:color="auto"/>
                  </w:divBdr>
                </w:div>
                <w:div w:id="1214655816">
                  <w:marLeft w:val="0"/>
                  <w:marRight w:val="0"/>
                  <w:marTop w:val="0"/>
                  <w:marBottom w:val="0"/>
                  <w:divBdr>
                    <w:top w:val="none" w:sz="0" w:space="0" w:color="auto"/>
                    <w:left w:val="none" w:sz="0" w:space="0" w:color="auto"/>
                    <w:bottom w:val="none" w:sz="0" w:space="0" w:color="auto"/>
                    <w:right w:val="none" w:sz="0" w:space="0" w:color="auto"/>
                  </w:divBdr>
                </w:div>
                <w:div w:id="898713245">
                  <w:marLeft w:val="0"/>
                  <w:marRight w:val="0"/>
                  <w:marTop w:val="0"/>
                  <w:marBottom w:val="0"/>
                  <w:divBdr>
                    <w:top w:val="none" w:sz="0" w:space="0" w:color="auto"/>
                    <w:left w:val="none" w:sz="0" w:space="0" w:color="auto"/>
                    <w:bottom w:val="none" w:sz="0" w:space="0" w:color="auto"/>
                    <w:right w:val="none" w:sz="0" w:space="0" w:color="auto"/>
                  </w:divBdr>
                </w:div>
                <w:div w:id="18968859">
                  <w:marLeft w:val="0"/>
                  <w:marRight w:val="0"/>
                  <w:marTop w:val="0"/>
                  <w:marBottom w:val="0"/>
                  <w:divBdr>
                    <w:top w:val="none" w:sz="0" w:space="0" w:color="auto"/>
                    <w:left w:val="none" w:sz="0" w:space="0" w:color="auto"/>
                    <w:bottom w:val="none" w:sz="0" w:space="0" w:color="auto"/>
                    <w:right w:val="none" w:sz="0" w:space="0" w:color="auto"/>
                  </w:divBdr>
                </w:div>
                <w:div w:id="954362746">
                  <w:marLeft w:val="0"/>
                  <w:marRight w:val="0"/>
                  <w:marTop w:val="0"/>
                  <w:marBottom w:val="0"/>
                  <w:divBdr>
                    <w:top w:val="none" w:sz="0" w:space="0" w:color="auto"/>
                    <w:left w:val="none" w:sz="0" w:space="0" w:color="auto"/>
                    <w:bottom w:val="none" w:sz="0" w:space="0" w:color="auto"/>
                    <w:right w:val="none" w:sz="0" w:space="0" w:color="auto"/>
                  </w:divBdr>
                </w:div>
                <w:div w:id="1495682116">
                  <w:marLeft w:val="0"/>
                  <w:marRight w:val="0"/>
                  <w:marTop w:val="0"/>
                  <w:marBottom w:val="0"/>
                  <w:divBdr>
                    <w:top w:val="none" w:sz="0" w:space="0" w:color="auto"/>
                    <w:left w:val="none" w:sz="0" w:space="0" w:color="auto"/>
                    <w:bottom w:val="none" w:sz="0" w:space="0" w:color="auto"/>
                    <w:right w:val="none" w:sz="0" w:space="0" w:color="auto"/>
                  </w:divBdr>
                </w:div>
                <w:div w:id="1773932183">
                  <w:marLeft w:val="0"/>
                  <w:marRight w:val="0"/>
                  <w:marTop w:val="0"/>
                  <w:marBottom w:val="0"/>
                  <w:divBdr>
                    <w:top w:val="none" w:sz="0" w:space="0" w:color="auto"/>
                    <w:left w:val="none" w:sz="0" w:space="0" w:color="auto"/>
                    <w:bottom w:val="none" w:sz="0" w:space="0" w:color="auto"/>
                    <w:right w:val="none" w:sz="0" w:space="0" w:color="auto"/>
                  </w:divBdr>
                </w:div>
                <w:div w:id="806321351">
                  <w:marLeft w:val="0"/>
                  <w:marRight w:val="0"/>
                  <w:marTop w:val="0"/>
                  <w:marBottom w:val="0"/>
                  <w:divBdr>
                    <w:top w:val="none" w:sz="0" w:space="0" w:color="auto"/>
                    <w:left w:val="none" w:sz="0" w:space="0" w:color="auto"/>
                    <w:bottom w:val="none" w:sz="0" w:space="0" w:color="auto"/>
                    <w:right w:val="none" w:sz="0" w:space="0" w:color="auto"/>
                  </w:divBdr>
                </w:div>
                <w:div w:id="2019845102">
                  <w:marLeft w:val="0"/>
                  <w:marRight w:val="0"/>
                  <w:marTop w:val="0"/>
                  <w:marBottom w:val="0"/>
                  <w:divBdr>
                    <w:top w:val="none" w:sz="0" w:space="0" w:color="auto"/>
                    <w:left w:val="none" w:sz="0" w:space="0" w:color="auto"/>
                    <w:bottom w:val="none" w:sz="0" w:space="0" w:color="auto"/>
                    <w:right w:val="none" w:sz="0" w:space="0" w:color="auto"/>
                  </w:divBdr>
                </w:div>
                <w:div w:id="1026103711">
                  <w:marLeft w:val="0"/>
                  <w:marRight w:val="0"/>
                  <w:marTop w:val="0"/>
                  <w:marBottom w:val="0"/>
                  <w:divBdr>
                    <w:top w:val="none" w:sz="0" w:space="0" w:color="auto"/>
                    <w:left w:val="none" w:sz="0" w:space="0" w:color="auto"/>
                    <w:bottom w:val="none" w:sz="0" w:space="0" w:color="auto"/>
                    <w:right w:val="none" w:sz="0" w:space="0" w:color="auto"/>
                  </w:divBdr>
                </w:div>
                <w:div w:id="4525988">
                  <w:marLeft w:val="0"/>
                  <w:marRight w:val="0"/>
                  <w:marTop w:val="0"/>
                  <w:marBottom w:val="0"/>
                  <w:divBdr>
                    <w:top w:val="none" w:sz="0" w:space="0" w:color="auto"/>
                    <w:left w:val="none" w:sz="0" w:space="0" w:color="auto"/>
                    <w:bottom w:val="none" w:sz="0" w:space="0" w:color="auto"/>
                    <w:right w:val="none" w:sz="0" w:space="0" w:color="auto"/>
                  </w:divBdr>
                </w:div>
                <w:div w:id="250358738">
                  <w:marLeft w:val="0"/>
                  <w:marRight w:val="0"/>
                  <w:marTop w:val="0"/>
                  <w:marBottom w:val="0"/>
                  <w:divBdr>
                    <w:top w:val="none" w:sz="0" w:space="0" w:color="auto"/>
                    <w:left w:val="none" w:sz="0" w:space="0" w:color="auto"/>
                    <w:bottom w:val="none" w:sz="0" w:space="0" w:color="auto"/>
                    <w:right w:val="none" w:sz="0" w:space="0" w:color="auto"/>
                  </w:divBdr>
                </w:div>
                <w:div w:id="62207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173256">
          <w:marLeft w:val="0"/>
          <w:marRight w:val="0"/>
          <w:marTop w:val="200"/>
          <w:marBottom w:val="200"/>
          <w:divBdr>
            <w:top w:val="single" w:sz="8" w:space="0" w:color="000000"/>
            <w:left w:val="single" w:sz="8" w:space="0" w:color="000000"/>
            <w:bottom w:val="single" w:sz="8" w:space="0" w:color="000000"/>
            <w:right w:val="single" w:sz="8" w:space="0" w:color="000000"/>
          </w:divBdr>
          <w:divsChild>
            <w:div w:id="2059280539">
              <w:marLeft w:val="0"/>
              <w:marRight w:val="0"/>
              <w:marTop w:val="0"/>
              <w:marBottom w:val="0"/>
              <w:divBdr>
                <w:top w:val="none" w:sz="0" w:space="0" w:color="auto"/>
                <w:left w:val="none" w:sz="0" w:space="0" w:color="auto"/>
                <w:bottom w:val="none" w:sz="0" w:space="0" w:color="auto"/>
                <w:right w:val="none" w:sz="0" w:space="0" w:color="auto"/>
              </w:divBdr>
              <w:divsChild>
                <w:div w:id="553084998">
                  <w:marLeft w:val="0"/>
                  <w:marRight w:val="0"/>
                  <w:marTop w:val="0"/>
                  <w:marBottom w:val="0"/>
                  <w:divBdr>
                    <w:top w:val="none" w:sz="0" w:space="0" w:color="auto"/>
                    <w:left w:val="none" w:sz="0" w:space="0" w:color="auto"/>
                    <w:bottom w:val="none" w:sz="0" w:space="0" w:color="auto"/>
                    <w:right w:val="none" w:sz="0" w:space="0" w:color="auto"/>
                  </w:divBdr>
                </w:div>
                <w:div w:id="1942375235">
                  <w:marLeft w:val="0"/>
                  <w:marRight w:val="0"/>
                  <w:marTop w:val="0"/>
                  <w:marBottom w:val="0"/>
                  <w:divBdr>
                    <w:top w:val="none" w:sz="0" w:space="0" w:color="auto"/>
                    <w:left w:val="none" w:sz="0" w:space="0" w:color="auto"/>
                    <w:bottom w:val="none" w:sz="0" w:space="0" w:color="auto"/>
                    <w:right w:val="none" w:sz="0" w:space="0" w:color="auto"/>
                  </w:divBdr>
                </w:div>
                <w:div w:id="1468620910">
                  <w:marLeft w:val="0"/>
                  <w:marRight w:val="0"/>
                  <w:marTop w:val="0"/>
                  <w:marBottom w:val="0"/>
                  <w:divBdr>
                    <w:top w:val="none" w:sz="0" w:space="0" w:color="auto"/>
                    <w:left w:val="none" w:sz="0" w:space="0" w:color="auto"/>
                    <w:bottom w:val="none" w:sz="0" w:space="0" w:color="auto"/>
                    <w:right w:val="none" w:sz="0" w:space="0" w:color="auto"/>
                  </w:divBdr>
                </w:div>
                <w:div w:id="4634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1421</Words>
  <Characters>8100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9502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2024-10-10T20:53:00Z</dcterms:created>
  <dcterms:modified xsi:type="dcterms:W3CDTF">2024-10-10T20:53:00Z</dcterms:modified>
</cp:coreProperties>
</file>