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37CA5" w14:textId="77777777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R356.  Governor, Criminal and Juvenile Justice (State Commission on).</w:t>
      </w:r>
    </w:p>
    <w:p w14:paraId="7AD17E6F" w14:textId="77777777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R356-10.  Recusal of a Member for a Conflict of Interest.</w:t>
      </w:r>
    </w:p>
    <w:p w14:paraId="51EC66E1" w14:textId="1EB1473C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R356-10-1.  Authority.</w:t>
      </w:r>
    </w:p>
    <w:p w14:paraId="753397A2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This rule is authorized by Subsection 63G-3-201(2) which requires an agency to make rules in certain circumstances.</w:t>
      </w:r>
    </w:p>
    <w:p w14:paraId="574D1025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</w:p>
    <w:p w14:paraId="427143AB" w14:textId="77777777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R356-10-2.  Purpose.</w:t>
      </w:r>
    </w:p>
    <w:p w14:paraId="0E3DC400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The purpose of this rule is to establish standards and procedures for addressing potential conflicts of interest for members of a public body, commission, or subcommittee established in:</w:t>
      </w:r>
    </w:p>
    <w:p w14:paraId="7294F569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(1)  Section 36-29-111;</w:t>
      </w:r>
    </w:p>
    <w:p w14:paraId="5797ACF0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(2)  Title 63M, Chapter 7, Criminal Justice and Substance Abuse;</w:t>
      </w:r>
    </w:p>
    <w:p w14:paraId="70D24D53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(3)  Section 64-13e-105;</w:t>
      </w:r>
    </w:p>
    <w:p w14:paraId="4EED56B2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(4)  Section 78A-10a-302;</w:t>
      </w:r>
    </w:p>
    <w:p w14:paraId="0223DA16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(5)  Section 78A-10a-402</w:t>
      </w:r>
    </w:p>
    <w:p w14:paraId="3472354A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(6)  Section 78A-10a-502; and</w:t>
      </w:r>
    </w:p>
    <w:p w14:paraId="1C7333AD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(7)  Rule 356-8.</w:t>
      </w:r>
    </w:p>
    <w:p w14:paraId="0A922B86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</w:p>
    <w:p w14:paraId="249C6595" w14:textId="77777777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R356-10-4.  Potential Conflicts of Interest.</w:t>
      </w:r>
    </w:p>
    <w:p w14:paraId="1EF1DDEC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A member of a public body, commission, or subcommittee has a potential conflict of interest with respect to a matter to be considered by the public body, commission, or subcommittee if:</w:t>
      </w:r>
    </w:p>
    <w:p w14:paraId="3FDB6394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(1)  the member's participation:</w:t>
      </w:r>
    </w:p>
    <w:p w14:paraId="5E87EB1F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(a)  would be prohibited under Title 67, Chapter 16, Utah Public Officers' and Employees' Ethics Act; or</w:t>
      </w:r>
    </w:p>
    <w:p w14:paraId="1F53F39C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(b)  constitutes a violation of constitutional due process under the Utah or United States Constitutions;</w:t>
      </w:r>
    </w:p>
    <w:p w14:paraId="72B557FF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(2)  the member:</w:t>
      </w:r>
    </w:p>
    <w:p w14:paraId="31FDD7E9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(a)  has a pecuniary interest in the outcome of the proceeding; or</w:t>
      </w:r>
    </w:p>
    <w:p w14:paraId="7250CC4D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(b)  may gain or lose some benefit depending on how the matter is resolved;</w:t>
      </w:r>
    </w:p>
    <w:p w14:paraId="20BA8AD4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(3)  the matter relates to a:</w:t>
      </w:r>
    </w:p>
    <w:p w14:paraId="2F6CAD60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(a)  personal interest of a member; or</w:t>
      </w:r>
    </w:p>
    <w:p w14:paraId="774404DA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(b)  person or entity closely associated with the member; or</w:t>
      </w:r>
    </w:p>
    <w:p w14:paraId="077B1C41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(4)  the member or the member's employer is the subject of a complaint before the public body, commission, or subcommittee.</w:t>
      </w:r>
    </w:p>
    <w:p w14:paraId="18F7A33C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</w:p>
    <w:p w14:paraId="6F3E026C" w14:textId="77777777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R356-10-5.  Procedures.</w:t>
      </w:r>
    </w:p>
    <w:p w14:paraId="38EFC9F8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bCs/>
          <w:sz w:val="18"/>
          <w:szCs w:val="22"/>
        </w:rPr>
        <w:tab/>
      </w:r>
      <w:r w:rsidRPr="00A51D34">
        <w:rPr>
          <w:sz w:val="18"/>
          <w:szCs w:val="22"/>
        </w:rPr>
        <w:t>(1)  A member, who has a potential conflict of interest with respect to a matter before the public body, commission, or committee, shall:</w:t>
      </w:r>
    </w:p>
    <w:p w14:paraId="6223F5C0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(a)  disclose the conflict of interest when the matter is raised; and</w:t>
      </w:r>
    </w:p>
    <w:p w14:paraId="1897AB9B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(b)  refrain from voting on the matter.</w:t>
      </w:r>
    </w:p>
    <w:p w14:paraId="0D9F1F85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  <w:r w:rsidRPr="00A51D34">
        <w:rPr>
          <w:sz w:val="18"/>
          <w:szCs w:val="22"/>
        </w:rPr>
        <w:tab/>
        <w:t>(2)  A member who has disclosed a conflict of interest under Subsection (1)(a) may participate in the discussion of the matter to the same extent that any other member of the public is allowed to participate.</w:t>
      </w:r>
    </w:p>
    <w:p w14:paraId="2C88EC5D" w14:textId="77777777" w:rsidR="00CF4DFD" w:rsidRPr="00A51D34" w:rsidRDefault="00CF4DFD" w:rsidP="00CF4DFD">
      <w:pPr>
        <w:widowControl/>
        <w:suppressAutoHyphens/>
        <w:rPr>
          <w:sz w:val="18"/>
          <w:szCs w:val="22"/>
        </w:rPr>
      </w:pPr>
    </w:p>
    <w:p w14:paraId="1BE0645C" w14:textId="77777777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KEY:  conflicts of interest</w:t>
      </w:r>
    </w:p>
    <w:p w14:paraId="0A76D639" w14:textId="12067D06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 xml:space="preserve">Date of Last Change:  </w:t>
      </w:r>
      <w:r w:rsidR="00D837C1" w:rsidRPr="00A51D34">
        <w:rPr>
          <w:b/>
          <w:bCs/>
          <w:sz w:val="18"/>
          <w:szCs w:val="22"/>
        </w:rPr>
        <w:t>October 15,</w:t>
      </w:r>
      <w:r w:rsidRPr="00A51D34">
        <w:rPr>
          <w:b/>
          <w:bCs/>
          <w:sz w:val="18"/>
          <w:szCs w:val="22"/>
        </w:rPr>
        <w:t xml:space="preserve"> 2024</w:t>
      </w:r>
    </w:p>
    <w:p w14:paraId="0C04F00C" w14:textId="77777777" w:rsidR="00CF4DFD" w:rsidRPr="00A51D34" w:rsidRDefault="00CF4DFD" w:rsidP="00CF4DFD">
      <w:pPr>
        <w:widowControl/>
        <w:suppressAutoHyphens/>
        <w:rPr>
          <w:bCs/>
          <w:sz w:val="18"/>
          <w:szCs w:val="22"/>
        </w:rPr>
      </w:pPr>
      <w:r w:rsidRPr="00A51D34">
        <w:rPr>
          <w:b/>
          <w:bCs/>
          <w:sz w:val="18"/>
          <w:szCs w:val="22"/>
        </w:rPr>
        <w:t>Authorizing, and Implemented or Interpreted Law:  Title 67, Chapter 16</w:t>
      </w:r>
    </w:p>
    <w:p w14:paraId="3479BDB3" w14:textId="77777777" w:rsidR="00CF4DFD" w:rsidRPr="00A51D34" w:rsidRDefault="00CF4DFD" w:rsidP="00CF4DFD">
      <w:pPr>
        <w:widowControl/>
        <w:suppressAutoHyphens/>
        <w:rPr>
          <w:sz w:val="18"/>
        </w:rPr>
      </w:pPr>
    </w:p>
    <w:p w14:paraId="40B4319B" w14:textId="393E9BBC" w:rsidR="00CF4DFD" w:rsidRPr="00A51D34" w:rsidRDefault="00CF4DFD" w:rsidP="00CF4DFD">
      <w:pPr>
        <w:widowControl/>
        <w:suppressAutoHyphens/>
        <w:rPr>
          <w:rStyle w:val="s1"/>
          <w:spacing w:val="0"/>
          <w:sz w:val="18"/>
        </w:rPr>
      </w:pPr>
    </w:p>
    <w:sectPr w:rsidR="00CF4DFD" w:rsidRPr="00A51D34" w:rsidSect="00A51D34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13D5"/>
    <w:rsid w:val="000069A9"/>
    <w:rsid w:val="000A4737"/>
    <w:rsid w:val="000B0C8F"/>
    <w:rsid w:val="000E680A"/>
    <w:rsid w:val="00101D7A"/>
    <w:rsid w:val="001307F2"/>
    <w:rsid w:val="00151566"/>
    <w:rsid w:val="001A4628"/>
    <w:rsid w:val="001F3F7F"/>
    <w:rsid w:val="001F57C2"/>
    <w:rsid w:val="00201378"/>
    <w:rsid w:val="002078B8"/>
    <w:rsid w:val="00253C3B"/>
    <w:rsid w:val="002800AE"/>
    <w:rsid w:val="002977C3"/>
    <w:rsid w:val="002A5476"/>
    <w:rsid w:val="002B721A"/>
    <w:rsid w:val="002C1C24"/>
    <w:rsid w:val="002C62A2"/>
    <w:rsid w:val="002F4EB4"/>
    <w:rsid w:val="00310F21"/>
    <w:rsid w:val="003962FE"/>
    <w:rsid w:val="003D568D"/>
    <w:rsid w:val="003E6785"/>
    <w:rsid w:val="00406A6F"/>
    <w:rsid w:val="004462C1"/>
    <w:rsid w:val="00496636"/>
    <w:rsid w:val="00516D25"/>
    <w:rsid w:val="00522E4B"/>
    <w:rsid w:val="005309C7"/>
    <w:rsid w:val="0054534A"/>
    <w:rsid w:val="00550F3B"/>
    <w:rsid w:val="005D22A7"/>
    <w:rsid w:val="005D3A47"/>
    <w:rsid w:val="005E452A"/>
    <w:rsid w:val="006234F2"/>
    <w:rsid w:val="00671273"/>
    <w:rsid w:val="006C2F8E"/>
    <w:rsid w:val="006F53BE"/>
    <w:rsid w:val="00706A20"/>
    <w:rsid w:val="00713100"/>
    <w:rsid w:val="007142DA"/>
    <w:rsid w:val="007222F4"/>
    <w:rsid w:val="007309B6"/>
    <w:rsid w:val="00734062"/>
    <w:rsid w:val="007C5E4D"/>
    <w:rsid w:val="00866F44"/>
    <w:rsid w:val="00876CD0"/>
    <w:rsid w:val="00890D5C"/>
    <w:rsid w:val="008919F6"/>
    <w:rsid w:val="0089518C"/>
    <w:rsid w:val="008C7D58"/>
    <w:rsid w:val="008F4E1C"/>
    <w:rsid w:val="00907C5A"/>
    <w:rsid w:val="00907C9F"/>
    <w:rsid w:val="00921E5D"/>
    <w:rsid w:val="00935E46"/>
    <w:rsid w:val="00960AD5"/>
    <w:rsid w:val="00984DF2"/>
    <w:rsid w:val="009A72FC"/>
    <w:rsid w:val="009E4DA6"/>
    <w:rsid w:val="00A16E4F"/>
    <w:rsid w:val="00A342FC"/>
    <w:rsid w:val="00A417B9"/>
    <w:rsid w:val="00A41D37"/>
    <w:rsid w:val="00A51D34"/>
    <w:rsid w:val="00A676D8"/>
    <w:rsid w:val="00A76232"/>
    <w:rsid w:val="00A83740"/>
    <w:rsid w:val="00AB3E17"/>
    <w:rsid w:val="00AB3E25"/>
    <w:rsid w:val="00AF1519"/>
    <w:rsid w:val="00B12EA0"/>
    <w:rsid w:val="00B2523E"/>
    <w:rsid w:val="00B31912"/>
    <w:rsid w:val="00B3504C"/>
    <w:rsid w:val="00B606F6"/>
    <w:rsid w:val="00B76DD0"/>
    <w:rsid w:val="00B866D3"/>
    <w:rsid w:val="00BB016D"/>
    <w:rsid w:val="00BB5B12"/>
    <w:rsid w:val="00BC5E52"/>
    <w:rsid w:val="00BE00B1"/>
    <w:rsid w:val="00BF2D47"/>
    <w:rsid w:val="00C17425"/>
    <w:rsid w:val="00C34145"/>
    <w:rsid w:val="00C6485F"/>
    <w:rsid w:val="00CA0A7D"/>
    <w:rsid w:val="00CA4226"/>
    <w:rsid w:val="00CA7CC9"/>
    <w:rsid w:val="00CC1DE2"/>
    <w:rsid w:val="00CC2F8D"/>
    <w:rsid w:val="00CF4DFD"/>
    <w:rsid w:val="00D13FA2"/>
    <w:rsid w:val="00D221CB"/>
    <w:rsid w:val="00D26D4A"/>
    <w:rsid w:val="00D30AD1"/>
    <w:rsid w:val="00D30C3D"/>
    <w:rsid w:val="00D41ABA"/>
    <w:rsid w:val="00D4356F"/>
    <w:rsid w:val="00D43AA0"/>
    <w:rsid w:val="00D468D6"/>
    <w:rsid w:val="00D47425"/>
    <w:rsid w:val="00D66991"/>
    <w:rsid w:val="00D837C1"/>
    <w:rsid w:val="00DC38B4"/>
    <w:rsid w:val="00E154ED"/>
    <w:rsid w:val="00E35B77"/>
    <w:rsid w:val="00E62157"/>
    <w:rsid w:val="00ED03E0"/>
    <w:rsid w:val="00EF079E"/>
    <w:rsid w:val="00F1268F"/>
    <w:rsid w:val="00F20F2B"/>
    <w:rsid w:val="00F44E2C"/>
    <w:rsid w:val="00F55D82"/>
    <w:rsid w:val="00F8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2024-10-17T18:26:00Z</dcterms:created>
  <dcterms:modified xsi:type="dcterms:W3CDTF">2024-10-17T18:26:00Z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459a268db93ae94b73ff08eb565bb9dad473aba88656c71c5fbebbbfab947265</vt:lpwstr>
  </property>
</Properties>
</file>