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A7A4FD" w14:textId="77777777" w:rsidR="00F728F7" w:rsidRPr="00E15C8E" w:rsidRDefault="00F728F7" w:rsidP="00F728F7">
      <w:pPr>
        <w:widowControl/>
        <w:shd w:val="clear" w:color="auto" w:fill="FFFFFF"/>
        <w:suppressAutoHyphens/>
        <w:autoSpaceDE/>
        <w:autoSpaceDN/>
        <w:adjustRightInd/>
        <w:rPr>
          <w:sz w:val="18"/>
          <w:szCs w:val="20"/>
        </w:rPr>
      </w:pPr>
      <w:r w:rsidRPr="00E15C8E">
        <w:rPr>
          <w:b/>
          <w:bCs/>
          <w:sz w:val="18"/>
          <w:szCs w:val="20"/>
        </w:rPr>
        <w:t>R388.  Health and Human Services, Population Health; HIV/AIDS, Tuberculosis Control and Refugee Health.</w:t>
      </w:r>
    </w:p>
    <w:p w14:paraId="0871441F" w14:textId="77777777" w:rsidR="00F728F7" w:rsidRPr="00E15C8E" w:rsidRDefault="00F728F7" w:rsidP="00F728F7">
      <w:pPr>
        <w:widowControl/>
        <w:shd w:val="clear" w:color="auto" w:fill="FFFFFF"/>
        <w:suppressAutoHyphens/>
        <w:autoSpaceDE/>
        <w:autoSpaceDN/>
        <w:adjustRightInd/>
        <w:rPr>
          <w:bCs/>
          <w:sz w:val="18"/>
          <w:szCs w:val="20"/>
        </w:rPr>
      </w:pPr>
      <w:r w:rsidRPr="00E15C8E">
        <w:rPr>
          <w:b/>
          <w:bCs/>
          <w:sz w:val="18"/>
          <w:szCs w:val="20"/>
        </w:rPr>
        <w:t>R388-804.  Special Measures for the Control of Tuberculosis.</w:t>
      </w:r>
    </w:p>
    <w:p w14:paraId="7C4F144D" w14:textId="77777777" w:rsidR="00F728F7" w:rsidRPr="00E15C8E" w:rsidRDefault="00F728F7" w:rsidP="00F728F7">
      <w:pPr>
        <w:widowControl/>
        <w:shd w:val="clear" w:color="auto" w:fill="FFFFFF"/>
        <w:suppressAutoHyphens/>
        <w:autoSpaceDE/>
        <w:autoSpaceDN/>
        <w:adjustRightInd/>
        <w:rPr>
          <w:sz w:val="18"/>
          <w:szCs w:val="20"/>
        </w:rPr>
      </w:pPr>
      <w:r w:rsidRPr="00E15C8E">
        <w:rPr>
          <w:b/>
          <w:bCs/>
          <w:sz w:val="18"/>
          <w:szCs w:val="20"/>
        </w:rPr>
        <w:t>R388-804-1.  Authority and Purpose.</w:t>
      </w:r>
    </w:p>
    <w:p w14:paraId="00CAD346" w14:textId="33818A8D" w:rsidR="00F728F7" w:rsidRPr="00E15C8E" w:rsidRDefault="00F728F7" w:rsidP="00F728F7">
      <w:pPr>
        <w:widowControl/>
        <w:shd w:val="clear" w:color="auto" w:fill="FFFFFF"/>
        <w:suppressAutoHyphens/>
        <w:autoSpaceDE/>
        <w:autoSpaceDN/>
        <w:adjustRightInd/>
        <w:rPr>
          <w:sz w:val="18"/>
          <w:szCs w:val="20"/>
        </w:rPr>
      </w:pPr>
      <w:r w:rsidRPr="00E15C8E">
        <w:rPr>
          <w:sz w:val="18"/>
          <w:szCs w:val="20"/>
        </w:rPr>
        <w:tab/>
        <w:t>(1)  This rule establishes standards for the control and prevention of tuberculosis as required by Sections 26B-7-206 through 26B-7-209, Sections 26B-7-303 through 26B-7-315, and Title 26B, Chapter 7, Part 3, Treatment, Isolation, and Quarantine Procedures for Communicable Diseases.</w:t>
      </w:r>
    </w:p>
    <w:p w14:paraId="0017DD4E" w14:textId="0BAD0A1C" w:rsidR="00F728F7" w:rsidRPr="00E15C8E" w:rsidRDefault="00F728F7" w:rsidP="00F728F7">
      <w:pPr>
        <w:widowControl/>
        <w:shd w:val="clear" w:color="auto" w:fill="FFFFFF"/>
        <w:suppressAutoHyphens/>
        <w:autoSpaceDE/>
        <w:autoSpaceDN/>
        <w:adjustRightInd/>
        <w:rPr>
          <w:sz w:val="18"/>
          <w:szCs w:val="20"/>
        </w:rPr>
      </w:pPr>
      <w:r w:rsidRPr="00E15C8E">
        <w:rPr>
          <w:sz w:val="18"/>
          <w:szCs w:val="20"/>
        </w:rPr>
        <w:tab/>
        <w:t>(2)  The purpose of this rule is to focus the efforts of tuberculosis control on disease elimination. The standards outlined in this rule constitute the minimum expectations in the care and treatment of individuals diagnosed with, suspected to have, or exposed to tuberculosis.</w:t>
      </w:r>
    </w:p>
    <w:p w14:paraId="2E91A7A5" w14:textId="77777777" w:rsidR="00F728F7" w:rsidRPr="00E15C8E" w:rsidRDefault="00F728F7" w:rsidP="00F728F7">
      <w:pPr>
        <w:widowControl/>
        <w:shd w:val="clear" w:color="auto" w:fill="FFFFFF"/>
        <w:suppressAutoHyphens/>
        <w:autoSpaceDE/>
        <w:autoSpaceDN/>
        <w:adjustRightInd/>
        <w:rPr>
          <w:bCs/>
          <w:sz w:val="18"/>
          <w:szCs w:val="20"/>
        </w:rPr>
      </w:pPr>
    </w:p>
    <w:p w14:paraId="24D92DA9" w14:textId="77777777" w:rsidR="00F728F7" w:rsidRPr="00E15C8E" w:rsidRDefault="00F728F7" w:rsidP="00F728F7">
      <w:pPr>
        <w:widowControl/>
        <w:shd w:val="clear" w:color="auto" w:fill="FFFFFF"/>
        <w:suppressAutoHyphens/>
        <w:autoSpaceDE/>
        <w:autoSpaceDN/>
        <w:adjustRightInd/>
        <w:rPr>
          <w:sz w:val="18"/>
          <w:szCs w:val="20"/>
        </w:rPr>
      </w:pPr>
      <w:r w:rsidRPr="00E15C8E">
        <w:rPr>
          <w:b/>
          <w:bCs/>
          <w:sz w:val="18"/>
          <w:szCs w:val="20"/>
        </w:rPr>
        <w:t>R388-804-2.  Definitions.</w:t>
      </w:r>
    </w:p>
    <w:p w14:paraId="3AB9690D" w14:textId="08698135" w:rsidR="00F728F7" w:rsidRPr="00E15C8E" w:rsidRDefault="00F728F7" w:rsidP="00F728F7">
      <w:pPr>
        <w:widowControl/>
        <w:shd w:val="clear" w:color="auto" w:fill="FFFFFF"/>
        <w:suppressAutoHyphens/>
        <w:autoSpaceDE/>
        <w:autoSpaceDN/>
        <w:adjustRightInd/>
        <w:rPr>
          <w:sz w:val="18"/>
          <w:szCs w:val="20"/>
        </w:rPr>
      </w:pPr>
      <w:r w:rsidRPr="00E15C8E">
        <w:rPr>
          <w:sz w:val="18"/>
          <w:szCs w:val="20"/>
        </w:rPr>
        <w:tab/>
        <w:t>The definitions described in Section 26B-7-301 apply to this rule. Additionally:</w:t>
      </w:r>
    </w:p>
    <w:p w14:paraId="75FFDFD7" w14:textId="528E8819" w:rsidR="00F728F7" w:rsidRPr="00E15C8E" w:rsidRDefault="00F728F7" w:rsidP="00F728F7">
      <w:pPr>
        <w:widowControl/>
        <w:shd w:val="clear" w:color="auto" w:fill="FFFFFF"/>
        <w:suppressAutoHyphens/>
        <w:autoSpaceDE/>
        <w:autoSpaceDN/>
        <w:adjustRightInd/>
        <w:rPr>
          <w:sz w:val="18"/>
          <w:szCs w:val="20"/>
        </w:rPr>
      </w:pPr>
      <w:r w:rsidRPr="00E15C8E">
        <w:rPr>
          <w:sz w:val="18"/>
          <w:szCs w:val="20"/>
        </w:rPr>
        <w:tab/>
        <w:t>(1)  "Acid-fast bacilli (AFB)" means bacteria that are not decolorized by acid-alcohol after having been stained with dyes such as basic fuschsin, including the mycobacteria and nocardiae.</w:t>
      </w:r>
    </w:p>
    <w:p w14:paraId="743B219B" w14:textId="77777777" w:rsidR="00F728F7" w:rsidRPr="00E15C8E" w:rsidRDefault="00F728F7" w:rsidP="00F728F7">
      <w:pPr>
        <w:widowControl/>
        <w:shd w:val="clear" w:color="auto" w:fill="FFFFFF"/>
        <w:suppressAutoHyphens/>
        <w:autoSpaceDE/>
        <w:autoSpaceDN/>
        <w:adjustRightInd/>
        <w:rPr>
          <w:sz w:val="18"/>
          <w:szCs w:val="20"/>
        </w:rPr>
      </w:pPr>
      <w:r w:rsidRPr="00E15C8E">
        <w:rPr>
          <w:sz w:val="18"/>
          <w:szCs w:val="20"/>
        </w:rPr>
        <w:tab/>
        <w:t>(2)  "A country with a high TB rate" means any country except the U.S., Canada, Australia, New Zealand, countries in western and northern Europe.</w:t>
      </w:r>
    </w:p>
    <w:p w14:paraId="1B8523BB" w14:textId="6C65A067" w:rsidR="00F728F7" w:rsidRPr="00E15C8E" w:rsidRDefault="00F728F7" w:rsidP="00F728F7">
      <w:pPr>
        <w:widowControl/>
        <w:shd w:val="clear" w:color="auto" w:fill="FFFFFF"/>
        <w:suppressAutoHyphens/>
        <w:autoSpaceDE/>
        <w:autoSpaceDN/>
        <w:adjustRightInd/>
        <w:rPr>
          <w:sz w:val="18"/>
          <w:szCs w:val="20"/>
        </w:rPr>
      </w:pPr>
      <w:r w:rsidRPr="00E15C8E">
        <w:rPr>
          <w:sz w:val="18"/>
          <w:szCs w:val="20"/>
        </w:rPr>
        <w:tab/>
        <w:t>(3)  "Case of tuberculosis" means an episode of tuberculosis disease meeting the clinical or laboratory criteria for tuberculosis as defined in the National Notifiable Diseases Surveillance System (NNDSS). The department incorporates by reference the Tuberculosis 2009 Case Definition, CSTE (Council of State and Territorial Epidemiologists) Position Statement, 09-ID-65.</w:t>
      </w:r>
    </w:p>
    <w:p w14:paraId="5DB8907A" w14:textId="77777777" w:rsidR="00F728F7" w:rsidRPr="00E15C8E" w:rsidRDefault="00F728F7" w:rsidP="00F728F7">
      <w:pPr>
        <w:widowControl/>
        <w:shd w:val="clear" w:color="auto" w:fill="FFFFFF"/>
        <w:suppressAutoHyphens/>
        <w:autoSpaceDE/>
        <w:autoSpaceDN/>
        <w:adjustRightInd/>
        <w:rPr>
          <w:sz w:val="18"/>
          <w:szCs w:val="20"/>
        </w:rPr>
      </w:pPr>
      <w:r w:rsidRPr="00E15C8E">
        <w:rPr>
          <w:sz w:val="18"/>
          <w:szCs w:val="20"/>
        </w:rPr>
        <w:tab/>
        <w:t>(4)  "Department" means the Utah Department of Health and Human Services.</w:t>
      </w:r>
    </w:p>
    <w:p w14:paraId="0C8B8678" w14:textId="77777777" w:rsidR="00F728F7" w:rsidRPr="00E15C8E" w:rsidRDefault="00F728F7" w:rsidP="00F728F7">
      <w:pPr>
        <w:widowControl/>
        <w:shd w:val="clear" w:color="auto" w:fill="FFFFFF"/>
        <w:suppressAutoHyphens/>
        <w:autoSpaceDE/>
        <w:autoSpaceDN/>
        <w:adjustRightInd/>
        <w:rPr>
          <w:sz w:val="18"/>
          <w:szCs w:val="20"/>
        </w:rPr>
      </w:pPr>
      <w:r w:rsidRPr="00E15C8E">
        <w:rPr>
          <w:sz w:val="18"/>
          <w:szCs w:val="20"/>
        </w:rPr>
        <w:tab/>
        <w:t>(5)  "Directly observed therapy" means a method of treatment in which health-care providers or other designated individuals physically observe the individual ingesting anti-tuberculosis medications.</w:t>
      </w:r>
    </w:p>
    <w:p w14:paraId="5FB25D84" w14:textId="77777777" w:rsidR="00F728F7" w:rsidRPr="00E15C8E" w:rsidRDefault="00F728F7" w:rsidP="00F728F7">
      <w:pPr>
        <w:widowControl/>
        <w:shd w:val="clear" w:color="auto" w:fill="FFFFFF"/>
        <w:suppressAutoHyphens/>
        <w:autoSpaceDE/>
        <w:autoSpaceDN/>
        <w:adjustRightInd/>
        <w:rPr>
          <w:sz w:val="18"/>
          <w:szCs w:val="20"/>
        </w:rPr>
      </w:pPr>
      <w:r w:rsidRPr="00E15C8E">
        <w:rPr>
          <w:sz w:val="18"/>
          <w:szCs w:val="20"/>
        </w:rPr>
        <w:tab/>
        <w:t>(6)  "Drug resistant tuberculosis" means tuberculosis bacteria which is resistant to one or more anti-tuberculosis drugs.</w:t>
      </w:r>
    </w:p>
    <w:p w14:paraId="58BA8C6F" w14:textId="77777777" w:rsidR="00F728F7" w:rsidRPr="00E15C8E" w:rsidRDefault="00F728F7" w:rsidP="00F728F7">
      <w:pPr>
        <w:widowControl/>
        <w:shd w:val="clear" w:color="auto" w:fill="FFFFFF"/>
        <w:suppressAutoHyphens/>
        <w:autoSpaceDE/>
        <w:autoSpaceDN/>
        <w:adjustRightInd/>
        <w:rPr>
          <w:sz w:val="18"/>
          <w:szCs w:val="20"/>
        </w:rPr>
      </w:pPr>
      <w:r w:rsidRPr="00E15C8E">
        <w:rPr>
          <w:sz w:val="18"/>
          <w:szCs w:val="20"/>
        </w:rPr>
        <w:tab/>
        <w:t>(7)  "Multi-drug resistant tuberculosis" means tuberculosis bacteria which is resistant to at least isoniazid and rifampin.</w:t>
      </w:r>
    </w:p>
    <w:p w14:paraId="07AA655B" w14:textId="77777777" w:rsidR="00F728F7" w:rsidRPr="00E15C8E" w:rsidRDefault="00F728F7" w:rsidP="00F728F7">
      <w:pPr>
        <w:widowControl/>
        <w:shd w:val="clear" w:color="auto" w:fill="FFFFFF"/>
        <w:suppressAutoHyphens/>
        <w:autoSpaceDE/>
        <w:autoSpaceDN/>
        <w:adjustRightInd/>
        <w:rPr>
          <w:sz w:val="18"/>
          <w:szCs w:val="20"/>
        </w:rPr>
      </w:pPr>
      <w:r w:rsidRPr="00E15C8E">
        <w:rPr>
          <w:sz w:val="18"/>
          <w:szCs w:val="20"/>
        </w:rPr>
        <w:tab/>
        <w:t>(8)  Program" means the Utah Department of Health and Human Services, Office of Communicable Disease, TB Control Program.</w:t>
      </w:r>
    </w:p>
    <w:p w14:paraId="2EFEFE2B" w14:textId="11C77D7E" w:rsidR="00F728F7" w:rsidRPr="00E15C8E" w:rsidRDefault="00F728F7" w:rsidP="00F728F7">
      <w:pPr>
        <w:widowControl/>
        <w:shd w:val="clear" w:color="auto" w:fill="FFFFFF"/>
        <w:suppressAutoHyphens/>
        <w:autoSpaceDE/>
        <w:autoSpaceDN/>
        <w:adjustRightInd/>
        <w:rPr>
          <w:sz w:val="18"/>
          <w:szCs w:val="20"/>
        </w:rPr>
      </w:pPr>
      <w:r w:rsidRPr="00E15C8E">
        <w:rPr>
          <w:sz w:val="18"/>
          <w:szCs w:val="20"/>
        </w:rPr>
        <w:tab/>
        <w:t>(9)  "Suspect case" means an individual who is suspected to have tuberculosis disease, including a person with signs and symptoms consistent with tuberculosis, having AFB recovered from sputum or any other source with identification pending, or started on a regimen consistent with treatment for active tuberculosis disease as described in references a and b in Subsection R388-804-6(1).</w:t>
      </w:r>
    </w:p>
    <w:p w14:paraId="0769949C" w14:textId="2D25F7CF" w:rsidR="00F728F7" w:rsidRPr="00E15C8E" w:rsidRDefault="00F728F7" w:rsidP="00F728F7">
      <w:pPr>
        <w:widowControl/>
        <w:shd w:val="clear" w:color="auto" w:fill="FFFFFF"/>
        <w:suppressAutoHyphens/>
        <w:autoSpaceDE/>
        <w:autoSpaceDN/>
        <w:adjustRightInd/>
        <w:rPr>
          <w:sz w:val="18"/>
          <w:szCs w:val="20"/>
        </w:rPr>
      </w:pPr>
      <w:r w:rsidRPr="00E15C8E">
        <w:rPr>
          <w:sz w:val="18"/>
          <w:szCs w:val="20"/>
        </w:rPr>
        <w:tab/>
        <w:t>(10)  "Tuberculosis" means a disease caused by Mycobacterium tuberculosis complex, including Mycobacterium tuberculosis, Mycobacterium bovis, or Mycobacterium africanum.</w:t>
      </w:r>
    </w:p>
    <w:p w14:paraId="7876E81B" w14:textId="77777777" w:rsidR="00F728F7" w:rsidRPr="00E15C8E" w:rsidRDefault="00F728F7" w:rsidP="00F728F7">
      <w:pPr>
        <w:widowControl/>
        <w:shd w:val="clear" w:color="auto" w:fill="FFFFFF"/>
        <w:suppressAutoHyphens/>
        <w:autoSpaceDE/>
        <w:autoSpaceDN/>
        <w:adjustRightInd/>
        <w:rPr>
          <w:sz w:val="18"/>
          <w:szCs w:val="20"/>
        </w:rPr>
      </w:pPr>
      <w:r w:rsidRPr="00E15C8E">
        <w:rPr>
          <w:sz w:val="18"/>
          <w:szCs w:val="20"/>
        </w:rPr>
        <w:tab/>
        <w:t>(11)  "Tuberculosis disease" means a state of active tuberculosis, pulmonary or extra-pulmonary, as determined by a chest radiograph, the bacteriologic examination of body tissues or secretions, other diagnostic procedures or physician diagnosis.</w:t>
      </w:r>
    </w:p>
    <w:p w14:paraId="04B33FEF" w14:textId="24A07A0C" w:rsidR="00F728F7" w:rsidRPr="00E15C8E" w:rsidRDefault="00F728F7" w:rsidP="00F728F7">
      <w:pPr>
        <w:widowControl/>
        <w:shd w:val="clear" w:color="auto" w:fill="FFFFFF"/>
        <w:suppressAutoHyphens/>
        <w:autoSpaceDE/>
        <w:autoSpaceDN/>
        <w:adjustRightInd/>
        <w:rPr>
          <w:sz w:val="18"/>
          <w:szCs w:val="20"/>
        </w:rPr>
      </w:pPr>
      <w:r w:rsidRPr="00E15C8E">
        <w:rPr>
          <w:sz w:val="18"/>
          <w:szCs w:val="20"/>
        </w:rPr>
        <w:tab/>
        <w:t>(12)  "Tuberculosis infection" means the presence of M. tuberculosis in the body but the absence of clinical or radiographic evidence of active disease as documented by a significant tuberculin skin test, or Interferon Gamma Release Assay (IGRA), including Quantiferon or T-SPOT, a negative chest radiograph and the absence of clinical signs and symptoms.</w:t>
      </w:r>
    </w:p>
    <w:p w14:paraId="6BA86B7E" w14:textId="77777777" w:rsidR="00F728F7" w:rsidRPr="00E15C8E" w:rsidRDefault="00F728F7" w:rsidP="00F728F7">
      <w:pPr>
        <w:widowControl/>
        <w:shd w:val="clear" w:color="auto" w:fill="FFFFFF"/>
        <w:suppressAutoHyphens/>
        <w:autoSpaceDE/>
        <w:autoSpaceDN/>
        <w:adjustRightInd/>
        <w:rPr>
          <w:sz w:val="18"/>
          <w:szCs w:val="20"/>
        </w:rPr>
      </w:pPr>
    </w:p>
    <w:p w14:paraId="3730BF67" w14:textId="77777777" w:rsidR="00F728F7" w:rsidRPr="00E15C8E" w:rsidRDefault="00F728F7" w:rsidP="00F728F7">
      <w:pPr>
        <w:widowControl/>
        <w:shd w:val="clear" w:color="auto" w:fill="FFFFFF"/>
        <w:suppressAutoHyphens/>
        <w:autoSpaceDE/>
        <w:autoSpaceDN/>
        <w:adjustRightInd/>
        <w:rPr>
          <w:sz w:val="18"/>
          <w:szCs w:val="20"/>
        </w:rPr>
      </w:pPr>
      <w:r w:rsidRPr="00E15C8E">
        <w:rPr>
          <w:b/>
          <w:bCs/>
          <w:sz w:val="18"/>
          <w:szCs w:val="20"/>
        </w:rPr>
        <w:t>R388-804-3.  Required Reporting.</w:t>
      </w:r>
    </w:p>
    <w:p w14:paraId="642BAB5B" w14:textId="4D64DC4D" w:rsidR="00F728F7" w:rsidRPr="00E15C8E" w:rsidRDefault="00F728F7" w:rsidP="00F728F7">
      <w:pPr>
        <w:widowControl/>
        <w:shd w:val="clear" w:color="auto" w:fill="FFFFFF"/>
        <w:suppressAutoHyphens/>
        <w:autoSpaceDE/>
        <w:autoSpaceDN/>
        <w:adjustRightInd/>
        <w:rPr>
          <w:sz w:val="18"/>
          <w:szCs w:val="20"/>
        </w:rPr>
      </w:pPr>
      <w:r w:rsidRPr="00E15C8E">
        <w:rPr>
          <w:sz w:val="18"/>
          <w:szCs w:val="20"/>
        </w:rPr>
        <w:tab/>
        <w:t>(1)  Tuberculosis is a reportable disease. Individuals shall immediately notify the department by telephone of each suspect and confirmed case of pulmonary and extra-pulmonary tuberculosis as required by Sections R386-702-2 and R386-702-3.</w:t>
      </w:r>
    </w:p>
    <w:p w14:paraId="7A59B332" w14:textId="198AC91E" w:rsidR="00F728F7" w:rsidRPr="00E15C8E" w:rsidRDefault="00F728F7" w:rsidP="00F728F7">
      <w:pPr>
        <w:widowControl/>
        <w:shd w:val="clear" w:color="auto" w:fill="FFFFFF"/>
        <w:suppressAutoHyphens/>
        <w:autoSpaceDE/>
        <w:autoSpaceDN/>
        <w:adjustRightInd/>
        <w:rPr>
          <w:sz w:val="18"/>
          <w:szCs w:val="20"/>
        </w:rPr>
      </w:pPr>
      <w:r w:rsidRPr="00E15C8E">
        <w:rPr>
          <w:sz w:val="18"/>
          <w:szCs w:val="20"/>
        </w:rPr>
        <w:tab/>
        <w:t>(2)  The report may also be made to the local health department, which shall notify the department of each suspect and confirmed case within 72 hours of report.</w:t>
      </w:r>
    </w:p>
    <w:p w14:paraId="5E3C9001" w14:textId="77777777" w:rsidR="00F728F7" w:rsidRPr="00E15C8E" w:rsidRDefault="00F728F7" w:rsidP="00F728F7">
      <w:pPr>
        <w:widowControl/>
        <w:shd w:val="clear" w:color="auto" w:fill="FFFFFF"/>
        <w:suppressAutoHyphens/>
        <w:autoSpaceDE/>
        <w:autoSpaceDN/>
        <w:adjustRightInd/>
        <w:rPr>
          <w:bCs/>
          <w:sz w:val="18"/>
          <w:szCs w:val="20"/>
        </w:rPr>
      </w:pPr>
    </w:p>
    <w:p w14:paraId="546D6688" w14:textId="77777777" w:rsidR="00F728F7" w:rsidRPr="00E15C8E" w:rsidRDefault="00F728F7" w:rsidP="00F728F7">
      <w:pPr>
        <w:widowControl/>
        <w:shd w:val="clear" w:color="auto" w:fill="FFFFFF"/>
        <w:suppressAutoHyphens/>
        <w:autoSpaceDE/>
        <w:autoSpaceDN/>
        <w:adjustRightInd/>
        <w:rPr>
          <w:sz w:val="18"/>
          <w:szCs w:val="20"/>
        </w:rPr>
      </w:pPr>
      <w:r w:rsidRPr="00E15C8E">
        <w:rPr>
          <w:b/>
          <w:bCs/>
          <w:sz w:val="18"/>
          <w:szCs w:val="20"/>
        </w:rPr>
        <w:t>R388-804-4.  Screening Priorities and Procedures.</w:t>
      </w:r>
    </w:p>
    <w:p w14:paraId="04034607" w14:textId="7C524C6D" w:rsidR="00F728F7" w:rsidRPr="00E15C8E" w:rsidRDefault="00F728F7" w:rsidP="00F728F7">
      <w:pPr>
        <w:widowControl/>
        <w:shd w:val="clear" w:color="auto" w:fill="FFFFFF"/>
        <w:suppressAutoHyphens/>
        <w:autoSpaceDE/>
        <w:autoSpaceDN/>
        <w:adjustRightInd/>
        <w:rPr>
          <w:sz w:val="18"/>
          <w:szCs w:val="20"/>
        </w:rPr>
      </w:pPr>
      <w:r w:rsidRPr="00E15C8E">
        <w:rPr>
          <w:sz w:val="18"/>
          <w:szCs w:val="20"/>
        </w:rPr>
        <w:tab/>
        <w:t>(1)  Private providers and local health departments shall screen individuals considered to be at high risk for tuberculosis disease and infection before screening is conducted in the general population. Priorities shall be established based on those at greatest risk for disease and in consideration of the resources available.</w:t>
      </w:r>
    </w:p>
    <w:p w14:paraId="0CA22D1F" w14:textId="7C4AEB34" w:rsidR="00F728F7" w:rsidRPr="00E15C8E" w:rsidRDefault="00F728F7" w:rsidP="00F728F7">
      <w:pPr>
        <w:widowControl/>
        <w:shd w:val="clear" w:color="auto" w:fill="FFFFFF"/>
        <w:suppressAutoHyphens/>
        <w:autoSpaceDE/>
        <w:autoSpaceDN/>
        <w:adjustRightInd/>
        <w:rPr>
          <w:sz w:val="18"/>
          <w:szCs w:val="20"/>
        </w:rPr>
      </w:pPr>
      <w:r w:rsidRPr="00E15C8E">
        <w:rPr>
          <w:sz w:val="18"/>
          <w:szCs w:val="20"/>
        </w:rPr>
        <w:tab/>
        <w:t>(2)  Individuals considered at high risk for tuberculosis include:</w:t>
      </w:r>
    </w:p>
    <w:p w14:paraId="44A9C90A" w14:textId="77777777" w:rsidR="00F728F7" w:rsidRPr="00E15C8E" w:rsidRDefault="00F728F7" w:rsidP="00F728F7">
      <w:pPr>
        <w:widowControl/>
        <w:shd w:val="clear" w:color="auto" w:fill="FFFFFF"/>
        <w:suppressAutoHyphens/>
        <w:autoSpaceDE/>
        <w:autoSpaceDN/>
        <w:adjustRightInd/>
        <w:rPr>
          <w:sz w:val="18"/>
          <w:szCs w:val="20"/>
        </w:rPr>
      </w:pPr>
      <w:r w:rsidRPr="00E15C8E">
        <w:rPr>
          <w:sz w:val="18"/>
          <w:szCs w:val="20"/>
        </w:rPr>
        <w:tab/>
        <w:t>(a)  close contacts of those with infectious tuberculosis;</w:t>
      </w:r>
    </w:p>
    <w:p w14:paraId="4092691D" w14:textId="77777777" w:rsidR="00F728F7" w:rsidRPr="00E15C8E" w:rsidRDefault="00F728F7" w:rsidP="00F728F7">
      <w:pPr>
        <w:widowControl/>
        <w:shd w:val="clear" w:color="auto" w:fill="FFFFFF"/>
        <w:suppressAutoHyphens/>
        <w:autoSpaceDE/>
        <w:autoSpaceDN/>
        <w:adjustRightInd/>
        <w:rPr>
          <w:sz w:val="18"/>
          <w:szCs w:val="20"/>
        </w:rPr>
      </w:pPr>
      <w:r w:rsidRPr="00E15C8E">
        <w:rPr>
          <w:sz w:val="18"/>
          <w:szCs w:val="20"/>
        </w:rPr>
        <w:tab/>
        <w:t>(b)  persons infected with human immunodeficiency virus;</w:t>
      </w:r>
    </w:p>
    <w:p w14:paraId="4BD74744" w14:textId="77777777" w:rsidR="00F728F7" w:rsidRPr="00E15C8E" w:rsidRDefault="00F728F7" w:rsidP="00F728F7">
      <w:pPr>
        <w:widowControl/>
        <w:shd w:val="clear" w:color="auto" w:fill="FFFFFF"/>
        <w:suppressAutoHyphens/>
        <w:autoSpaceDE/>
        <w:autoSpaceDN/>
        <w:adjustRightInd/>
        <w:rPr>
          <w:sz w:val="18"/>
          <w:szCs w:val="20"/>
        </w:rPr>
      </w:pPr>
      <w:r w:rsidRPr="00E15C8E">
        <w:rPr>
          <w:sz w:val="18"/>
          <w:szCs w:val="20"/>
        </w:rPr>
        <w:tab/>
        <w:t>(c)  individuals who inject illicit drugs;</w:t>
      </w:r>
    </w:p>
    <w:p w14:paraId="1CD5CB5B" w14:textId="77777777" w:rsidR="00F728F7" w:rsidRPr="00E15C8E" w:rsidRDefault="00F728F7" w:rsidP="00F728F7">
      <w:pPr>
        <w:widowControl/>
        <w:shd w:val="clear" w:color="auto" w:fill="FFFFFF"/>
        <w:suppressAutoHyphens/>
        <w:autoSpaceDE/>
        <w:autoSpaceDN/>
        <w:adjustRightInd/>
        <w:rPr>
          <w:sz w:val="18"/>
          <w:szCs w:val="20"/>
        </w:rPr>
      </w:pPr>
      <w:r w:rsidRPr="00E15C8E">
        <w:rPr>
          <w:sz w:val="18"/>
          <w:szCs w:val="20"/>
        </w:rPr>
        <w:tab/>
        <w:t>(d)  inmates of adult and youth correctional facilities;</w:t>
      </w:r>
    </w:p>
    <w:p w14:paraId="50E718C1" w14:textId="77777777" w:rsidR="00F728F7" w:rsidRPr="00E15C8E" w:rsidRDefault="00F728F7" w:rsidP="00F728F7">
      <w:pPr>
        <w:widowControl/>
        <w:shd w:val="clear" w:color="auto" w:fill="FFFFFF"/>
        <w:suppressAutoHyphens/>
        <w:autoSpaceDE/>
        <w:autoSpaceDN/>
        <w:adjustRightInd/>
        <w:rPr>
          <w:sz w:val="18"/>
          <w:szCs w:val="20"/>
        </w:rPr>
      </w:pPr>
      <w:r w:rsidRPr="00E15C8E">
        <w:rPr>
          <w:sz w:val="18"/>
          <w:szCs w:val="20"/>
        </w:rPr>
        <w:tab/>
        <w:t>(e)  residents of nursing homes, mental institutions, other long term residential facilities and homeless shelters;</w:t>
      </w:r>
    </w:p>
    <w:p w14:paraId="4CAD94E1" w14:textId="41F23966" w:rsidR="00F728F7" w:rsidRPr="00E15C8E" w:rsidRDefault="00F728F7" w:rsidP="00F728F7">
      <w:pPr>
        <w:widowControl/>
        <w:shd w:val="clear" w:color="auto" w:fill="FFFFFF"/>
        <w:suppressAutoHyphens/>
        <w:autoSpaceDE/>
        <w:autoSpaceDN/>
        <w:adjustRightInd/>
        <w:rPr>
          <w:sz w:val="18"/>
          <w:szCs w:val="20"/>
        </w:rPr>
      </w:pPr>
      <w:r w:rsidRPr="00E15C8E">
        <w:rPr>
          <w:sz w:val="18"/>
          <w:szCs w:val="20"/>
        </w:rPr>
        <w:tab/>
        <w:t>(f)  temporary or permanent residence for one month or more in a country with a high TB rate;</w:t>
      </w:r>
    </w:p>
    <w:p w14:paraId="3A3563BD" w14:textId="0490D487" w:rsidR="00F728F7" w:rsidRPr="00E15C8E" w:rsidRDefault="00F728F7" w:rsidP="00F728F7">
      <w:pPr>
        <w:widowControl/>
        <w:shd w:val="clear" w:color="auto" w:fill="FFFFFF"/>
        <w:suppressAutoHyphens/>
        <w:autoSpaceDE/>
        <w:autoSpaceDN/>
        <w:adjustRightInd/>
        <w:rPr>
          <w:sz w:val="18"/>
          <w:szCs w:val="20"/>
        </w:rPr>
      </w:pPr>
      <w:r w:rsidRPr="00E15C8E">
        <w:rPr>
          <w:sz w:val="18"/>
          <w:szCs w:val="20"/>
        </w:rPr>
        <w:tab/>
        <w:t>(g)  low income or traditionally under-served groups with poor access to health care, including migrant farm workers and homeless persons;</w:t>
      </w:r>
    </w:p>
    <w:p w14:paraId="2D4027FF" w14:textId="77777777" w:rsidR="00F728F7" w:rsidRPr="00E15C8E" w:rsidRDefault="00F728F7" w:rsidP="00F728F7">
      <w:pPr>
        <w:widowControl/>
        <w:shd w:val="clear" w:color="auto" w:fill="FFFFFF"/>
        <w:suppressAutoHyphens/>
        <w:autoSpaceDE/>
        <w:autoSpaceDN/>
        <w:adjustRightInd/>
        <w:rPr>
          <w:sz w:val="18"/>
          <w:szCs w:val="20"/>
        </w:rPr>
      </w:pPr>
      <w:r w:rsidRPr="00E15C8E">
        <w:rPr>
          <w:sz w:val="18"/>
          <w:szCs w:val="20"/>
        </w:rPr>
        <w:tab/>
        <w:t>(h)  individuals who are substance abusers and members of traditionally under-served groups;</w:t>
      </w:r>
    </w:p>
    <w:p w14:paraId="114B2F6A" w14:textId="4335E3AF" w:rsidR="00F728F7" w:rsidRPr="00E15C8E" w:rsidRDefault="00F728F7" w:rsidP="00F728F7">
      <w:pPr>
        <w:widowControl/>
        <w:shd w:val="clear" w:color="auto" w:fill="FFFFFF"/>
        <w:suppressAutoHyphens/>
        <w:autoSpaceDE/>
        <w:autoSpaceDN/>
        <w:adjustRightInd/>
        <w:rPr>
          <w:sz w:val="18"/>
          <w:szCs w:val="20"/>
        </w:rPr>
      </w:pPr>
      <w:r w:rsidRPr="00E15C8E">
        <w:rPr>
          <w:sz w:val="18"/>
          <w:szCs w:val="20"/>
        </w:rPr>
        <w:tab/>
        <w:t>(i)  individuals with certain medical conditions that may predispose them to tuberculosis infection and disease, including diabetes, cancer, silicosis, and immune-suppressive disorders;</w:t>
      </w:r>
    </w:p>
    <w:p w14:paraId="0C66BDD1" w14:textId="056C8399" w:rsidR="00F728F7" w:rsidRPr="00E15C8E" w:rsidRDefault="00F728F7" w:rsidP="00F728F7">
      <w:pPr>
        <w:widowControl/>
        <w:shd w:val="clear" w:color="auto" w:fill="FFFFFF"/>
        <w:suppressAutoHyphens/>
        <w:autoSpaceDE/>
        <w:autoSpaceDN/>
        <w:adjustRightInd/>
        <w:rPr>
          <w:sz w:val="18"/>
          <w:szCs w:val="20"/>
        </w:rPr>
      </w:pPr>
      <w:r w:rsidRPr="00E15C8E">
        <w:rPr>
          <w:sz w:val="18"/>
          <w:szCs w:val="20"/>
        </w:rPr>
        <w:tab/>
        <w:t>(j)  individuals who have travelled for one month or more in a country with a high TB rate; and</w:t>
      </w:r>
    </w:p>
    <w:p w14:paraId="5C8CB944" w14:textId="2F0141F3" w:rsidR="00F728F7" w:rsidRPr="00E15C8E" w:rsidRDefault="00F728F7" w:rsidP="00F728F7">
      <w:pPr>
        <w:widowControl/>
        <w:shd w:val="clear" w:color="auto" w:fill="FFFFFF"/>
        <w:suppressAutoHyphens/>
        <w:autoSpaceDE/>
        <w:autoSpaceDN/>
        <w:adjustRightInd/>
        <w:rPr>
          <w:sz w:val="18"/>
          <w:szCs w:val="20"/>
        </w:rPr>
      </w:pPr>
      <w:r w:rsidRPr="00E15C8E">
        <w:rPr>
          <w:sz w:val="18"/>
          <w:szCs w:val="20"/>
        </w:rPr>
        <w:lastRenderedPageBreak/>
        <w:tab/>
        <w:t>(k)  other groups may be identified by order of the department, as needed to protect public health.</w:t>
      </w:r>
    </w:p>
    <w:p w14:paraId="1DAC4457" w14:textId="77777777" w:rsidR="00F728F7" w:rsidRPr="00E15C8E" w:rsidRDefault="00F728F7" w:rsidP="00F728F7">
      <w:pPr>
        <w:widowControl/>
        <w:shd w:val="clear" w:color="auto" w:fill="FFFFFF"/>
        <w:suppressAutoHyphens/>
        <w:autoSpaceDE/>
        <w:autoSpaceDN/>
        <w:adjustRightInd/>
        <w:rPr>
          <w:sz w:val="18"/>
          <w:szCs w:val="20"/>
        </w:rPr>
      </w:pPr>
      <w:r w:rsidRPr="00E15C8E">
        <w:rPr>
          <w:sz w:val="18"/>
          <w:szCs w:val="20"/>
        </w:rPr>
        <w:tab/>
        <w:t>(3)  Employers who are required to follow Occupational Safety and Health Administration guidelines for the prevention of tuberculosis transmission disease shall develop and implement an employee screening program.</w:t>
      </w:r>
    </w:p>
    <w:p w14:paraId="74C680E3" w14:textId="5E4BD80C" w:rsidR="00F728F7" w:rsidRPr="00E15C8E" w:rsidRDefault="00F728F7" w:rsidP="00F728F7">
      <w:pPr>
        <w:widowControl/>
        <w:shd w:val="clear" w:color="auto" w:fill="FFFFFF"/>
        <w:suppressAutoHyphens/>
        <w:autoSpaceDE/>
        <w:autoSpaceDN/>
        <w:adjustRightInd/>
        <w:rPr>
          <w:sz w:val="18"/>
          <w:szCs w:val="20"/>
        </w:rPr>
      </w:pPr>
      <w:r w:rsidRPr="00E15C8E">
        <w:rPr>
          <w:sz w:val="18"/>
          <w:szCs w:val="20"/>
        </w:rPr>
        <w:tab/>
        <w:t>(4)(a)  Tuberculosis screening shall be completed using either the Mantoux tuberculin skin test method or an FDA approved in-vitro serologic test, including IGRA.</w:t>
      </w:r>
    </w:p>
    <w:p w14:paraId="7E4B8902" w14:textId="77777777" w:rsidR="00F728F7" w:rsidRPr="00E15C8E" w:rsidRDefault="00F728F7" w:rsidP="00F728F7">
      <w:pPr>
        <w:widowControl/>
        <w:shd w:val="clear" w:color="auto" w:fill="FFFFFF"/>
        <w:suppressAutoHyphens/>
        <w:autoSpaceDE/>
        <w:autoSpaceDN/>
        <w:adjustRightInd/>
        <w:rPr>
          <w:sz w:val="18"/>
          <w:szCs w:val="20"/>
        </w:rPr>
      </w:pPr>
      <w:r w:rsidRPr="00E15C8E">
        <w:rPr>
          <w:sz w:val="18"/>
          <w:szCs w:val="20"/>
        </w:rPr>
        <w:tab/>
        <w:t>(b)  Screening for tuberculosis with chest radiographs or sputum smears to identify individuals with tuberculosis disease is acceptable in places where the risk of transmission is high and the time required to give the skin test makes the method impractical.</w:t>
      </w:r>
    </w:p>
    <w:p w14:paraId="32D41E5E" w14:textId="77777777" w:rsidR="00F728F7" w:rsidRPr="00E15C8E" w:rsidRDefault="00F728F7" w:rsidP="00F728F7">
      <w:pPr>
        <w:widowControl/>
        <w:shd w:val="clear" w:color="auto" w:fill="FFFFFF"/>
        <w:suppressAutoHyphens/>
        <w:autoSpaceDE/>
        <w:autoSpaceDN/>
        <w:adjustRightInd/>
        <w:rPr>
          <w:sz w:val="18"/>
          <w:szCs w:val="20"/>
        </w:rPr>
      </w:pPr>
      <w:r w:rsidRPr="00E15C8E">
        <w:rPr>
          <w:sz w:val="18"/>
          <w:szCs w:val="20"/>
        </w:rPr>
        <w:tab/>
        <w:t>(c)  If the skin test or serologic test yields results indicating tuberculosis exposure, the individual shall be referred for further medical evaluation.</w:t>
      </w:r>
    </w:p>
    <w:p w14:paraId="0E9DD3BE" w14:textId="77777777" w:rsidR="00F728F7" w:rsidRPr="00E15C8E" w:rsidRDefault="00F728F7" w:rsidP="00F728F7">
      <w:pPr>
        <w:widowControl/>
        <w:shd w:val="clear" w:color="auto" w:fill="FFFFFF"/>
        <w:suppressAutoHyphens/>
        <w:autoSpaceDE/>
        <w:autoSpaceDN/>
        <w:adjustRightInd/>
        <w:rPr>
          <w:bCs/>
          <w:sz w:val="18"/>
          <w:szCs w:val="20"/>
        </w:rPr>
      </w:pPr>
    </w:p>
    <w:p w14:paraId="57D0E076" w14:textId="77777777" w:rsidR="00F728F7" w:rsidRPr="00E15C8E" w:rsidRDefault="00F728F7" w:rsidP="00F728F7">
      <w:pPr>
        <w:widowControl/>
        <w:shd w:val="clear" w:color="auto" w:fill="FFFFFF"/>
        <w:suppressAutoHyphens/>
        <w:autoSpaceDE/>
        <w:autoSpaceDN/>
        <w:adjustRightInd/>
        <w:rPr>
          <w:sz w:val="18"/>
          <w:szCs w:val="20"/>
        </w:rPr>
      </w:pPr>
      <w:r w:rsidRPr="00E15C8E">
        <w:rPr>
          <w:b/>
          <w:bCs/>
          <w:sz w:val="18"/>
          <w:szCs w:val="20"/>
        </w:rPr>
        <w:t>R388-804-5.  Diagnostic Criteria.</w:t>
      </w:r>
    </w:p>
    <w:p w14:paraId="033FF0CD" w14:textId="77777777" w:rsidR="00F728F7" w:rsidRPr="00E15C8E" w:rsidRDefault="00F728F7" w:rsidP="00F728F7">
      <w:pPr>
        <w:widowControl/>
        <w:shd w:val="clear" w:color="auto" w:fill="FFFFFF"/>
        <w:suppressAutoHyphens/>
        <w:autoSpaceDE/>
        <w:autoSpaceDN/>
        <w:adjustRightInd/>
        <w:rPr>
          <w:sz w:val="18"/>
          <w:szCs w:val="20"/>
        </w:rPr>
      </w:pPr>
      <w:r w:rsidRPr="00E15C8E">
        <w:rPr>
          <w:sz w:val="18"/>
          <w:szCs w:val="20"/>
        </w:rPr>
        <w:tab/>
        <w:t>In diagnosing tuberculosis, health care providers shall be expected to adhere to the standards listed in this document.</w:t>
      </w:r>
    </w:p>
    <w:p w14:paraId="4705AB75" w14:textId="4AFBC619" w:rsidR="00F728F7" w:rsidRPr="00E15C8E" w:rsidRDefault="00F728F7" w:rsidP="00F728F7">
      <w:pPr>
        <w:widowControl/>
        <w:shd w:val="clear" w:color="auto" w:fill="FFFFFF"/>
        <w:suppressAutoHyphens/>
        <w:autoSpaceDE/>
        <w:autoSpaceDN/>
        <w:adjustRightInd/>
        <w:rPr>
          <w:sz w:val="18"/>
          <w:szCs w:val="20"/>
        </w:rPr>
      </w:pPr>
      <w:r w:rsidRPr="00E15C8E">
        <w:rPr>
          <w:sz w:val="18"/>
          <w:szCs w:val="20"/>
        </w:rPr>
        <w:tab/>
        <w:t>(1)  The department incorporates by reference the (IDSA/ATS/CDC) diagnostic and classification standards as described in the segment entitled Clinical Practice Guidelines: Diagnosis of Tuberculosis in Adults and Children, published by the Centers for Disease Control and Prevention (CDC) in December 2016.</w:t>
      </w:r>
    </w:p>
    <w:p w14:paraId="3F8F902E" w14:textId="37EB917D" w:rsidR="00F728F7" w:rsidRPr="00E15C8E" w:rsidRDefault="00F728F7" w:rsidP="00F728F7">
      <w:pPr>
        <w:widowControl/>
        <w:shd w:val="clear" w:color="auto" w:fill="FFFFFF"/>
        <w:suppressAutoHyphens/>
        <w:autoSpaceDE/>
        <w:autoSpaceDN/>
        <w:adjustRightInd/>
        <w:rPr>
          <w:sz w:val="18"/>
          <w:szCs w:val="20"/>
        </w:rPr>
      </w:pPr>
      <w:r w:rsidRPr="00E15C8E">
        <w:rPr>
          <w:sz w:val="18"/>
          <w:szCs w:val="20"/>
        </w:rPr>
        <w:tab/>
        <w:t>(2)  The department incorporates by reference:</w:t>
      </w:r>
    </w:p>
    <w:p w14:paraId="019B1C0B" w14:textId="04BB6ACE" w:rsidR="00F728F7" w:rsidRPr="00E15C8E" w:rsidRDefault="00F728F7" w:rsidP="00F728F7">
      <w:pPr>
        <w:widowControl/>
        <w:shd w:val="clear" w:color="auto" w:fill="FFFFFF"/>
        <w:suppressAutoHyphens/>
        <w:autoSpaceDE/>
        <w:autoSpaceDN/>
        <w:adjustRightInd/>
        <w:rPr>
          <w:sz w:val="18"/>
          <w:szCs w:val="20"/>
        </w:rPr>
      </w:pPr>
      <w:r w:rsidRPr="00E15C8E">
        <w:rPr>
          <w:sz w:val="18"/>
          <w:szCs w:val="20"/>
        </w:rPr>
        <w:tab/>
        <w:t>(a)  Updated Guidelines for the Use of Nucleic Acid Amplification Tests in the Diagnosis of Tuberculosis, published by the CDC in January 2009;</w:t>
      </w:r>
    </w:p>
    <w:p w14:paraId="368F719E" w14:textId="1A38074D" w:rsidR="00F728F7" w:rsidRPr="00E15C8E" w:rsidRDefault="00F728F7" w:rsidP="00F728F7">
      <w:pPr>
        <w:widowControl/>
        <w:shd w:val="clear" w:color="auto" w:fill="FFFFFF"/>
        <w:suppressAutoHyphens/>
        <w:autoSpaceDE/>
        <w:autoSpaceDN/>
        <w:adjustRightInd/>
        <w:rPr>
          <w:sz w:val="18"/>
          <w:szCs w:val="20"/>
        </w:rPr>
      </w:pPr>
      <w:r w:rsidRPr="00E15C8E">
        <w:rPr>
          <w:sz w:val="18"/>
          <w:szCs w:val="20"/>
        </w:rPr>
        <w:tab/>
        <w:t>(b)  Availability of an Assay for Detecting Mycobacterium tuberculosis, Including Rifampin-Resistant Strains, and Considerations for Its Use, published by the CDC in October 2013; and</w:t>
      </w:r>
    </w:p>
    <w:p w14:paraId="380686E7" w14:textId="388750EC" w:rsidR="00F728F7" w:rsidRPr="00E15C8E" w:rsidRDefault="00F728F7" w:rsidP="00F728F7">
      <w:pPr>
        <w:widowControl/>
        <w:shd w:val="clear" w:color="auto" w:fill="FFFFFF"/>
        <w:suppressAutoHyphens/>
        <w:autoSpaceDE/>
        <w:autoSpaceDN/>
        <w:adjustRightInd/>
        <w:rPr>
          <w:sz w:val="18"/>
          <w:szCs w:val="20"/>
        </w:rPr>
      </w:pPr>
      <w:r w:rsidRPr="00E15C8E">
        <w:rPr>
          <w:sz w:val="18"/>
          <w:szCs w:val="20"/>
        </w:rPr>
        <w:tab/>
        <w:t>(c)  Consensus statement on the use of Cepheid Xpert MTB/RIF assay in making decisions to discontinue airborne infection isolation in healthcare settings, published by National Tuberculosis Controllers Association and Association of Public Health Laboratories in April 2016.</w:t>
      </w:r>
    </w:p>
    <w:p w14:paraId="6D721C50" w14:textId="32FE1564" w:rsidR="00F728F7" w:rsidRPr="00E15C8E" w:rsidRDefault="00F728F7" w:rsidP="00F728F7">
      <w:pPr>
        <w:widowControl/>
        <w:shd w:val="clear" w:color="auto" w:fill="FFFFFF"/>
        <w:suppressAutoHyphens/>
        <w:autoSpaceDE/>
        <w:autoSpaceDN/>
        <w:adjustRightInd/>
        <w:rPr>
          <w:sz w:val="18"/>
          <w:szCs w:val="20"/>
        </w:rPr>
      </w:pPr>
      <w:r w:rsidRPr="00E15C8E">
        <w:rPr>
          <w:sz w:val="18"/>
          <w:szCs w:val="20"/>
        </w:rPr>
        <w:tab/>
        <w:t>(3)  The department incorporates by reference the CDC diagnostic and classification standards for use of Interferon Gamma Release Assays as described in the document entitled, Updated Guidelines for Using Interferon Gamma Release Assays to Detect Mycobacterium tuberculosis Infection, United States, 2010, published by the CDC.</w:t>
      </w:r>
    </w:p>
    <w:p w14:paraId="4DB52571" w14:textId="77777777" w:rsidR="00F728F7" w:rsidRPr="00E15C8E" w:rsidRDefault="00F728F7" w:rsidP="00F728F7">
      <w:pPr>
        <w:widowControl/>
        <w:shd w:val="clear" w:color="auto" w:fill="FFFFFF"/>
        <w:suppressAutoHyphens/>
        <w:autoSpaceDE/>
        <w:autoSpaceDN/>
        <w:adjustRightInd/>
        <w:rPr>
          <w:bCs/>
          <w:sz w:val="18"/>
          <w:szCs w:val="20"/>
        </w:rPr>
      </w:pPr>
    </w:p>
    <w:p w14:paraId="396A4DF9" w14:textId="77777777" w:rsidR="00F728F7" w:rsidRPr="00E15C8E" w:rsidRDefault="00F728F7" w:rsidP="00F728F7">
      <w:pPr>
        <w:widowControl/>
        <w:shd w:val="clear" w:color="auto" w:fill="FFFFFF"/>
        <w:suppressAutoHyphens/>
        <w:autoSpaceDE/>
        <w:autoSpaceDN/>
        <w:adjustRightInd/>
        <w:rPr>
          <w:sz w:val="18"/>
          <w:szCs w:val="20"/>
        </w:rPr>
      </w:pPr>
      <w:r w:rsidRPr="00E15C8E">
        <w:rPr>
          <w:b/>
          <w:bCs/>
          <w:sz w:val="18"/>
          <w:szCs w:val="20"/>
        </w:rPr>
        <w:t>R388-804-6.  Treatment and Control.</w:t>
      </w:r>
    </w:p>
    <w:p w14:paraId="3E3E0ED7" w14:textId="5F162840" w:rsidR="00F728F7" w:rsidRPr="00E15C8E" w:rsidRDefault="00F728F7" w:rsidP="00F728F7">
      <w:pPr>
        <w:widowControl/>
        <w:shd w:val="clear" w:color="auto" w:fill="FFFFFF"/>
        <w:suppressAutoHyphens/>
        <w:autoSpaceDE/>
        <w:autoSpaceDN/>
        <w:adjustRightInd/>
        <w:rPr>
          <w:sz w:val="18"/>
          <w:szCs w:val="20"/>
        </w:rPr>
      </w:pPr>
      <w:r w:rsidRPr="00E15C8E">
        <w:rPr>
          <w:sz w:val="18"/>
          <w:szCs w:val="20"/>
        </w:rPr>
        <w:tab/>
        <w:t>(1)  The department incorporates by reference the IDSA/ATS/CDC treatment standards as described in the segment entitled:</w:t>
      </w:r>
    </w:p>
    <w:p w14:paraId="6DCC2F96" w14:textId="52EE45DF" w:rsidR="00F728F7" w:rsidRPr="00E15C8E" w:rsidRDefault="00F728F7" w:rsidP="00F728F7">
      <w:pPr>
        <w:widowControl/>
        <w:shd w:val="clear" w:color="auto" w:fill="FFFFFF"/>
        <w:suppressAutoHyphens/>
        <w:autoSpaceDE/>
        <w:autoSpaceDN/>
        <w:adjustRightInd/>
        <w:rPr>
          <w:sz w:val="18"/>
          <w:szCs w:val="20"/>
        </w:rPr>
      </w:pPr>
      <w:r w:rsidRPr="00E15C8E">
        <w:rPr>
          <w:sz w:val="18"/>
          <w:szCs w:val="20"/>
        </w:rPr>
        <w:tab/>
        <w:t>(a)  Official ATS/CDC/IDSA Clinical Practice Guidelines: Treatment of Drug-Susceptible Tuberculosis, published by the Infectious Diseases Society of America (IDSA) in August 2016;</w:t>
      </w:r>
    </w:p>
    <w:p w14:paraId="4D4A7365" w14:textId="70505FFC" w:rsidR="00F728F7" w:rsidRPr="00E15C8E" w:rsidRDefault="00F728F7" w:rsidP="00F728F7">
      <w:pPr>
        <w:widowControl/>
        <w:shd w:val="clear" w:color="auto" w:fill="FFFFFF"/>
        <w:suppressAutoHyphens/>
        <w:autoSpaceDE/>
        <w:autoSpaceDN/>
        <w:adjustRightInd/>
        <w:rPr>
          <w:sz w:val="18"/>
          <w:szCs w:val="20"/>
        </w:rPr>
      </w:pPr>
      <w:r w:rsidRPr="00E15C8E">
        <w:rPr>
          <w:sz w:val="18"/>
          <w:szCs w:val="20"/>
        </w:rPr>
        <w:tab/>
        <w:t>(b)  Treatment of Tuberculosis, American Thoracic Society, CDC, and Infectious Diseases Society of America, published by the CDC in June 2003;</w:t>
      </w:r>
    </w:p>
    <w:p w14:paraId="3C39C4BB" w14:textId="68BF0878" w:rsidR="00F728F7" w:rsidRPr="00E15C8E" w:rsidRDefault="00F728F7" w:rsidP="00F728F7">
      <w:pPr>
        <w:widowControl/>
        <w:shd w:val="clear" w:color="auto" w:fill="FFFFFF"/>
        <w:suppressAutoHyphens/>
        <w:autoSpaceDE/>
        <w:autoSpaceDN/>
        <w:adjustRightInd/>
        <w:rPr>
          <w:sz w:val="18"/>
          <w:szCs w:val="20"/>
        </w:rPr>
      </w:pPr>
      <w:r w:rsidRPr="00E15C8E">
        <w:rPr>
          <w:sz w:val="18"/>
          <w:szCs w:val="20"/>
        </w:rPr>
        <w:tab/>
        <w:t>(c)  Controlling Tuberculosis in the United States: Recommendations from the American Thoracic Society; CDC, and the Infectious Diseases Society of America, published by the CDC in November 2005; and</w:t>
      </w:r>
    </w:p>
    <w:p w14:paraId="0F3D0803" w14:textId="77777777" w:rsidR="00F728F7" w:rsidRPr="00E15C8E" w:rsidRDefault="00F728F7" w:rsidP="00F728F7">
      <w:pPr>
        <w:widowControl/>
        <w:shd w:val="clear" w:color="auto" w:fill="FFFFFF"/>
        <w:suppressAutoHyphens/>
        <w:autoSpaceDE/>
        <w:autoSpaceDN/>
        <w:adjustRightInd/>
        <w:rPr>
          <w:sz w:val="18"/>
          <w:szCs w:val="20"/>
        </w:rPr>
      </w:pPr>
      <w:r w:rsidRPr="00E15C8E">
        <w:rPr>
          <w:sz w:val="18"/>
          <w:szCs w:val="20"/>
        </w:rPr>
        <w:tab/>
        <w:t>(d)  Targeted Tuberculin Testing and Treatment of Latent Tuberculosis Infection, published by the CDC in June 2000.</w:t>
      </w:r>
    </w:p>
    <w:p w14:paraId="336918E8" w14:textId="639E2CFE" w:rsidR="00F728F7" w:rsidRPr="00E15C8E" w:rsidRDefault="00F728F7" w:rsidP="00F728F7">
      <w:pPr>
        <w:widowControl/>
        <w:shd w:val="clear" w:color="auto" w:fill="FFFFFF"/>
        <w:suppressAutoHyphens/>
        <w:autoSpaceDE/>
        <w:autoSpaceDN/>
        <w:adjustRightInd/>
        <w:rPr>
          <w:sz w:val="18"/>
          <w:szCs w:val="20"/>
        </w:rPr>
      </w:pPr>
      <w:r w:rsidRPr="00E15C8E">
        <w:rPr>
          <w:sz w:val="18"/>
          <w:szCs w:val="20"/>
        </w:rPr>
        <w:tab/>
        <w:t>(2)  A health-care provider who treats an individual with tuberculosis disease shall use the IDSA/ATS/CDC treatment standards as a reference for the development of a comprehensive treatment and follow-up plan for each individual. The plan shall be developed in cooperation with the individual and approved by the local health department or the program. Health-care providers shall routinely document an individual's adherence to prescribed therapy for tuberculosis infection and disease. If isolation is indicated, the plan for isolation shall be approved by the local health department or the program. Discharge from an inpatient facility shall not occur without the knowledge of, and in agreement with the local health department and the program.</w:t>
      </w:r>
    </w:p>
    <w:p w14:paraId="61ED5080" w14:textId="77777777" w:rsidR="00F728F7" w:rsidRPr="00E15C8E" w:rsidRDefault="00F728F7" w:rsidP="00F728F7">
      <w:pPr>
        <w:widowControl/>
        <w:shd w:val="clear" w:color="auto" w:fill="FFFFFF"/>
        <w:suppressAutoHyphens/>
        <w:autoSpaceDE/>
        <w:autoSpaceDN/>
        <w:adjustRightInd/>
        <w:rPr>
          <w:sz w:val="18"/>
          <w:szCs w:val="20"/>
        </w:rPr>
      </w:pPr>
      <w:r w:rsidRPr="00E15C8E">
        <w:rPr>
          <w:sz w:val="18"/>
          <w:szCs w:val="20"/>
        </w:rPr>
        <w:tab/>
        <w:t>(3)  A health-care provider who treats an individual with suspect or active tuberculosis disease shall provide for directly observed therapy.</w:t>
      </w:r>
    </w:p>
    <w:p w14:paraId="68361EA2" w14:textId="63F3C852" w:rsidR="00F728F7" w:rsidRPr="00E15C8E" w:rsidRDefault="00F728F7" w:rsidP="00F728F7">
      <w:pPr>
        <w:widowControl/>
        <w:shd w:val="clear" w:color="auto" w:fill="FFFFFF"/>
        <w:suppressAutoHyphens/>
        <w:autoSpaceDE/>
        <w:autoSpaceDN/>
        <w:adjustRightInd/>
        <w:rPr>
          <w:sz w:val="18"/>
          <w:szCs w:val="20"/>
        </w:rPr>
      </w:pPr>
      <w:r w:rsidRPr="00E15C8E">
        <w:rPr>
          <w:sz w:val="18"/>
          <w:szCs w:val="20"/>
        </w:rPr>
        <w:tab/>
        <w:t>(4)  Individuals with infectious tuberculosis disease shall comply with the treatment plan as set forth by the provider and public health, including isolation if necessary, wearing a mask approved by the local health department or the program when outside the isolation area, abiding by a plan of directly observed therapy, providing laboratory samples, and attending each scheduled provider visit.</w:t>
      </w:r>
    </w:p>
    <w:p w14:paraId="7F420869" w14:textId="1A58ED0C" w:rsidR="00F728F7" w:rsidRPr="00E15C8E" w:rsidRDefault="00F728F7" w:rsidP="00F728F7">
      <w:pPr>
        <w:widowControl/>
        <w:shd w:val="clear" w:color="auto" w:fill="FFFFFF"/>
        <w:suppressAutoHyphens/>
        <w:autoSpaceDE/>
        <w:autoSpaceDN/>
        <w:adjustRightInd/>
        <w:rPr>
          <w:sz w:val="18"/>
          <w:szCs w:val="20"/>
        </w:rPr>
      </w:pPr>
      <w:r w:rsidRPr="00E15C8E">
        <w:rPr>
          <w:sz w:val="18"/>
          <w:szCs w:val="20"/>
        </w:rPr>
        <w:tab/>
        <w:t>(5)  Any individual who does not comply with Subsection R388-804-6(4) shall be subject to involuntary isolation as established in the Title 26B, Chapter 7, Part 3, Treatment, Isolation, and Quarantine Procedures for Communicable Diseases.</w:t>
      </w:r>
    </w:p>
    <w:p w14:paraId="2349A300" w14:textId="77777777" w:rsidR="00F728F7" w:rsidRPr="00E15C8E" w:rsidRDefault="00F728F7" w:rsidP="00F728F7">
      <w:pPr>
        <w:widowControl/>
        <w:shd w:val="clear" w:color="auto" w:fill="FFFFFF"/>
        <w:suppressAutoHyphens/>
        <w:autoSpaceDE/>
        <w:autoSpaceDN/>
        <w:adjustRightInd/>
        <w:rPr>
          <w:bCs/>
          <w:sz w:val="18"/>
          <w:szCs w:val="20"/>
        </w:rPr>
      </w:pPr>
    </w:p>
    <w:p w14:paraId="5AFEFE68" w14:textId="77777777" w:rsidR="00F728F7" w:rsidRPr="00E15C8E" w:rsidRDefault="00F728F7" w:rsidP="00F728F7">
      <w:pPr>
        <w:widowControl/>
        <w:shd w:val="clear" w:color="auto" w:fill="FFFFFF"/>
        <w:suppressAutoHyphens/>
        <w:autoSpaceDE/>
        <w:autoSpaceDN/>
        <w:adjustRightInd/>
        <w:rPr>
          <w:sz w:val="18"/>
          <w:szCs w:val="20"/>
        </w:rPr>
      </w:pPr>
      <w:r w:rsidRPr="00E15C8E">
        <w:rPr>
          <w:b/>
          <w:bCs/>
          <w:sz w:val="18"/>
          <w:szCs w:val="20"/>
        </w:rPr>
        <w:t>R388-804-7.  Epidemiologic Investigations.</w:t>
      </w:r>
    </w:p>
    <w:p w14:paraId="0372B998" w14:textId="77777777" w:rsidR="00F728F7" w:rsidRPr="00E15C8E" w:rsidRDefault="00F728F7" w:rsidP="00F728F7">
      <w:pPr>
        <w:widowControl/>
        <w:shd w:val="clear" w:color="auto" w:fill="FFFFFF"/>
        <w:suppressAutoHyphens/>
        <w:autoSpaceDE/>
        <w:autoSpaceDN/>
        <w:adjustRightInd/>
        <w:rPr>
          <w:sz w:val="18"/>
          <w:szCs w:val="20"/>
        </w:rPr>
      </w:pPr>
      <w:r w:rsidRPr="00E15C8E">
        <w:rPr>
          <w:sz w:val="18"/>
          <w:szCs w:val="20"/>
        </w:rPr>
        <w:tab/>
        <w:t>(1)  The local health department shall conduct a contact investigation immediately upon report of an AFB smear positive suspected or confirmed case of laryngeal, respiratory, or pleural tuberculosis disease.</w:t>
      </w:r>
    </w:p>
    <w:p w14:paraId="6346BF94" w14:textId="77777777" w:rsidR="00F728F7" w:rsidRPr="00E15C8E" w:rsidRDefault="00F728F7" w:rsidP="00F728F7">
      <w:pPr>
        <w:widowControl/>
        <w:shd w:val="clear" w:color="auto" w:fill="FFFFFF"/>
        <w:suppressAutoHyphens/>
        <w:autoSpaceDE/>
        <w:autoSpaceDN/>
        <w:adjustRightInd/>
        <w:rPr>
          <w:sz w:val="18"/>
          <w:szCs w:val="20"/>
        </w:rPr>
      </w:pPr>
      <w:r w:rsidRPr="00E15C8E">
        <w:rPr>
          <w:sz w:val="18"/>
          <w:szCs w:val="20"/>
        </w:rPr>
        <w:tab/>
        <w:t>(2)(a)  The contact investigation shall include interviewing, counseling, educating, examining and obtaining comprehensive information about those who have been in contact with individuals who have infectious tuberculosis.</w:t>
      </w:r>
    </w:p>
    <w:p w14:paraId="2C3075EC" w14:textId="77777777" w:rsidR="00F728F7" w:rsidRPr="00E15C8E" w:rsidRDefault="00F728F7" w:rsidP="00F728F7">
      <w:pPr>
        <w:widowControl/>
        <w:shd w:val="clear" w:color="auto" w:fill="FFFFFF"/>
        <w:suppressAutoHyphens/>
        <w:autoSpaceDE/>
        <w:autoSpaceDN/>
        <w:adjustRightInd/>
        <w:rPr>
          <w:sz w:val="18"/>
          <w:szCs w:val="20"/>
        </w:rPr>
      </w:pPr>
      <w:r w:rsidRPr="00E15C8E">
        <w:rPr>
          <w:sz w:val="18"/>
          <w:szCs w:val="20"/>
        </w:rPr>
        <w:tab/>
        <w:t>(b)  The investigation shall begin within three days of notification of an AFB smear positive suspected or confirmed case and the initial evaluation shall be completed within fourteen days of notification.</w:t>
      </w:r>
    </w:p>
    <w:p w14:paraId="5A289A73" w14:textId="77777777" w:rsidR="00F728F7" w:rsidRPr="00E15C8E" w:rsidRDefault="00F728F7" w:rsidP="00F728F7">
      <w:pPr>
        <w:widowControl/>
        <w:shd w:val="clear" w:color="auto" w:fill="FFFFFF"/>
        <w:suppressAutoHyphens/>
        <w:autoSpaceDE/>
        <w:autoSpaceDN/>
        <w:adjustRightInd/>
        <w:rPr>
          <w:sz w:val="18"/>
          <w:szCs w:val="20"/>
        </w:rPr>
      </w:pPr>
      <w:r w:rsidRPr="00E15C8E">
        <w:rPr>
          <w:sz w:val="18"/>
          <w:szCs w:val="20"/>
        </w:rPr>
        <w:tab/>
        <w:t>(c)  Investigations of contacts to persons with active TB disease shall include the evaluation of contacts and the treatment of infected contacts.</w:t>
      </w:r>
    </w:p>
    <w:p w14:paraId="62BA2510" w14:textId="44ADC685" w:rsidR="00F728F7" w:rsidRPr="00E15C8E" w:rsidRDefault="00F728F7" w:rsidP="00F728F7">
      <w:pPr>
        <w:widowControl/>
        <w:shd w:val="clear" w:color="auto" w:fill="FFFFFF"/>
        <w:suppressAutoHyphens/>
        <w:autoSpaceDE/>
        <w:autoSpaceDN/>
        <w:adjustRightInd/>
        <w:rPr>
          <w:sz w:val="18"/>
          <w:szCs w:val="20"/>
        </w:rPr>
      </w:pPr>
      <w:r w:rsidRPr="00E15C8E">
        <w:rPr>
          <w:sz w:val="18"/>
          <w:szCs w:val="20"/>
        </w:rPr>
        <w:lastRenderedPageBreak/>
        <w:tab/>
        <w:t>(d)  The local health department shall submit demographic data to the department at 30 days and at 120 days after initiation of the contact investigation and following the completion of prophylactic treatment.</w:t>
      </w:r>
    </w:p>
    <w:p w14:paraId="1A2CB73F" w14:textId="77777777" w:rsidR="00F728F7" w:rsidRPr="00E15C8E" w:rsidRDefault="00F728F7" w:rsidP="00F728F7">
      <w:pPr>
        <w:widowControl/>
        <w:shd w:val="clear" w:color="auto" w:fill="FFFFFF"/>
        <w:suppressAutoHyphens/>
        <w:autoSpaceDE/>
        <w:autoSpaceDN/>
        <w:adjustRightInd/>
        <w:rPr>
          <w:bCs/>
          <w:sz w:val="18"/>
          <w:szCs w:val="20"/>
        </w:rPr>
      </w:pPr>
    </w:p>
    <w:p w14:paraId="407EBCF6" w14:textId="77777777" w:rsidR="00F728F7" w:rsidRPr="00E15C8E" w:rsidRDefault="00F728F7" w:rsidP="00F728F7">
      <w:pPr>
        <w:widowControl/>
        <w:shd w:val="clear" w:color="auto" w:fill="FFFFFF"/>
        <w:suppressAutoHyphens/>
        <w:autoSpaceDE/>
        <w:autoSpaceDN/>
        <w:adjustRightInd/>
        <w:rPr>
          <w:sz w:val="18"/>
          <w:szCs w:val="20"/>
        </w:rPr>
      </w:pPr>
      <w:r w:rsidRPr="00E15C8E">
        <w:rPr>
          <w:b/>
          <w:bCs/>
          <w:sz w:val="18"/>
          <w:szCs w:val="20"/>
        </w:rPr>
        <w:t>R388-804-8.  Payment for Isolation and Quarantine.</w:t>
      </w:r>
    </w:p>
    <w:p w14:paraId="5923F15F" w14:textId="45978AB6" w:rsidR="00F728F7" w:rsidRPr="00E15C8E" w:rsidRDefault="00F728F7" w:rsidP="00F728F7">
      <w:pPr>
        <w:widowControl/>
        <w:shd w:val="clear" w:color="auto" w:fill="FFFFFF"/>
        <w:suppressAutoHyphens/>
        <w:autoSpaceDE/>
        <w:autoSpaceDN/>
        <w:adjustRightInd/>
        <w:rPr>
          <w:sz w:val="18"/>
          <w:szCs w:val="20"/>
        </w:rPr>
      </w:pPr>
      <w:r w:rsidRPr="00E15C8E">
        <w:rPr>
          <w:sz w:val="18"/>
          <w:szCs w:val="20"/>
        </w:rPr>
        <w:tab/>
        <w:t>Individuals who are isolated or quarantined at the expense of the department shall provide the department with information to determine if any other payment source for the costs associated with isolation or quarantine is available.</w:t>
      </w:r>
    </w:p>
    <w:p w14:paraId="52EFB8B4" w14:textId="77777777" w:rsidR="00F728F7" w:rsidRPr="00E15C8E" w:rsidRDefault="00F728F7" w:rsidP="00F728F7">
      <w:pPr>
        <w:widowControl/>
        <w:shd w:val="clear" w:color="auto" w:fill="FFFFFF"/>
        <w:suppressAutoHyphens/>
        <w:autoSpaceDE/>
        <w:autoSpaceDN/>
        <w:adjustRightInd/>
        <w:rPr>
          <w:bCs/>
          <w:sz w:val="18"/>
          <w:szCs w:val="20"/>
        </w:rPr>
      </w:pPr>
    </w:p>
    <w:p w14:paraId="518DC082" w14:textId="77777777" w:rsidR="00F728F7" w:rsidRPr="00E15C8E" w:rsidRDefault="00F728F7" w:rsidP="00F728F7">
      <w:pPr>
        <w:widowControl/>
        <w:shd w:val="clear" w:color="auto" w:fill="FFFFFF"/>
        <w:suppressAutoHyphens/>
        <w:autoSpaceDE/>
        <w:autoSpaceDN/>
        <w:adjustRightInd/>
        <w:rPr>
          <w:sz w:val="18"/>
          <w:szCs w:val="20"/>
        </w:rPr>
      </w:pPr>
      <w:r w:rsidRPr="00E15C8E">
        <w:rPr>
          <w:b/>
          <w:bCs/>
          <w:sz w:val="18"/>
          <w:szCs w:val="20"/>
        </w:rPr>
        <w:t>R388-804-9.  Penalty for Violation.</w:t>
      </w:r>
    </w:p>
    <w:p w14:paraId="461F2360" w14:textId="61B14554" w:rsidR="00F728F7" w:rsidRPr="00E15C8E" w:rsidRDefault="00F728F7" w:rsidP="00F728F7">
      <w:pPr>
        <w:widowControl/>
        <w:shd w:val="clear" w:color="auto" w:fill="FFFFFF"/>
        <w:suppressAutoHyphens/>
        <w:autoSpaceDE/>
        <w:autoSpaceDN/>
        <w:adjustRightInd/>
        <w:rPr>
          <w:sz w:val="18"/>
          <w:szCs w:val="20"/>
        </w:rPr>
      </w:pPr>
      <w:r w:rsidRPr="00E15C8E">
        <w:rPr>
          <w:sz w:val="18"/>
          <w:szCs w:val="20"/>
        </w:rPr>
        <w:tab/>
        <w:t>Any person who violates this rule may be assessed a civil money penalty as provided in Section 26B-1-224.</w:t>
      </w:r>
    </w:p>
    <w:p w14:paraId="339D0626" w14:textId="77777777" w:rsidR="00F728F7" w:rsidRPr="00E15C8E" w:rsidRDefault="00F728F7" w:rsidP="00F728F7">
      <w:pPr>
        <w:widowControl/>
        <w:shd w:val="clear" w:color="auto" w:fill="FFFFFF"/>
        <w:suppressAutoHyphens/>
        <w:autoSpaceDE/>
        <w:autoSpaceDN/>
        <w:adjustRightInd/>
        <w:rPr>
          <w:bCs/>
          <w:sz w:val="18"/>
          <w:szCs w:val="20"/>
        </w:rPr>
      </w:pPr>
    </w:p>
    <w:p w14:paraId="2A01A557" w14:textId="77777777" w:rsidR="00F728F7" w:rsidRPr="00E15C8E" w:rsidRDefault="00F728F7" w:rsidP="00F728F7">
      <w:pPr>
        <w:widowControl/>
        <w:shd w:val="clear" w:color="auto" w:fill="FFFFFF"/>
        <w:suppressAutoHyphens/>
        <w:autoSpaceDE/>
        <w:autoSpaceDN/>
        <w:adjustRightInd/>
        <w:rPr>
          <w:sz w:val="18"/>
          <w:szCs w:val="20"/>
        </w:rPr>
      </w:pPr>
      <w:r w:rsidRPr="00E15C8E">
        <w:rPr>
          <w:b/>
          <w:bCs/>
          <w:sz w:val="18"/>
          <w:szCs w:val="20"/>
        </w:rPr>
        <w:t>KEY:  tuberculosis, screening, communicable diseases</w:t>
      </w:r>
    </w:p>
    <w:p w14:paraId="1C30C3AA" w14:textId="68BD7FDB" w:rsidR="00F728F7" w:rsidRPr="00E15C8E" w:rsidRDefault="00F728F7" w:rsidP="00F728F7">
      <w:pPr>
        <w:widowControl/>
        <w:shd w:val="clear" w:color="auto" w:fill="FFFFFF"/>
        <w:suppressAutoHyphens/>
        <w:autoSpaceDE/>
        <w:autoSpaceDN/>
        <w:adjustRightInd/>
        <w:rPr>
          <w:sz w:val="18"/>
          <w:szCs w:val="20"/>
        </w:rPr>
      </w:pPr>
      <w:r w:rsidRPr="00E15C8E">
        <w:rPr>
          <w:b/>
          <w:bCs/>
          <w:sz w:val="18"/>
          <w:szCs w:val="20"/>
        </w:rPr>
        <w:t xml:space="preserve">Date of Last Change:  </w:t>
      </w:r>
      <w:r w:rsidR="001475D0" w:rsidRPr="00E15C8E">
        <w:rPr>
          <w:b/>
          <w:bCs/>
          <w:sz w:val="18"/>
          <w:szCs w:val="20"/>
        </w:rPr>
        <w:t xml:space="preserve">November 8, </w:t>
      </w:r>
      <w:r w:rsidRPr="00E15C8E">
        <w:rPr>
          <w:b/>
          <w:bCs/>
          <w:sz w:val="18"/>
          <w:szCs w:val="20"/>
        </w:rPr>
        <w:t>2024</w:t>
      </w:r>
    </w:p>
    <w:p w14:paraId="15CF080F" w14:textId="77777777" w:rsidR="00F728F7" w:rsidRPr="00E15C8E" w:rsidRDefault="00F728F7" w:rsidP="00F728F7">
      <w:pPr>
        <w:widowControl/>
        <w:shd w:val="clear" w:color="auto" w:fill="FFFFFF"/>
        <w:suppressAutoHyphens/>
        <w:autoSpaceDE/>
        <w:autoSpaceDN/>
        <w:adjustRightInd/>
        <w:rPr>
          <w:sz w:val="18"/>
          <w:szCs w:val="20"/>
        </w:rPr>
      </w:pPr>
      <w:r w:rsidRPr="00E15C8E">
        <w:rPr>
          <w:b/>
          <w:bCs/>
          <w:sz w:val="18"/>
          <w:szCs w:val="20"/>
        </w:rPr>
        <w:t>Notice of Continuation:  June 9, 2021</w:t>
      </w:r>
    </w:p>
    <w:p w14:paraId="4274DCE0" w14:textId="0EFA9653" w:rsidR="00F728F7" w:rsidRPr="00E15C8E" w:rsidRDefault="00F728F7" w:rsidP="00F728F7">
      <w:pPr>
        <w:widowControl/>
        <w:suppressAutoHyphens/>
        <w:rPr>
          <w:sz w:val="18"/>
          <w:szCs w:val="20"/>
          <w:shd w:val="clear" w:color="auto" w:fill="FFFFFF"/>
        </w:rPr>
      </w:pPr>
      <w:r w:rsidRPr="00E15C8E">
        <w:rPr>
          <w:b/>
          <w:bCs/>
          <w:sz w:val="18"/>
          <w:szCs w:val="20"/>
        </w:rPr>
        <w:t xml:space="preserve">Authorizing, and Implemented or Interpreted Law: </w:t>
      </w:r>
      <w:r w:rsidRPr="00E15C8E">
        <w:rPr>
          <w:b/>
          <w:sz w:val="18"/>
          <w:szCs w:val="20"/>
          <w:shd w:val="clear" w:color="auto" w:fill="FFFFFF"/>
        </w:rPr>
        <w:t xml:space="preserve"> 26B-7-206 through 26B-7-209; 26B-7-303 through 26B-7-315; 26B-7-3</w:t>
      </w:r>
    </w:p>
    <w:p w14:paraId="184A4469" w14:textId="77777777" w:rsidR="00F728F7" w:rsidRPr="00E15C8E" w:rsidRDefault="00F728F7" w:rsidP="00F728F7">
      <w:pPr>
        <w:widowControl/>
        <w:suppressAutoHyphens/>
        <w:rPr>
          <w:sz w:val="18"/>
          <w:szCs w:val="20"/>
          <w:shd w:val="clear" w:color="auto" w:fill="FFFFFF"/>
        </w:rPr>
      </w:pPr>
    </w:p>
    <w:p w14:paraId="53236E35" w14:textId="4A85AA90" w:rsidR="00F728F7" w:rsidRPr="00E15C8E" w:rsidRDefault="00F728F7" w:rsidP="00F728F7">
      <w:pPr>
        <w:widowControl/>
        <w:suppressAutoHyphens/>
        <w:rPr>
          <w:sz w:val="18"/>
        </w:rPr>
      </w:pPr>
    </w:p>
    <w:sectPr w:rsidR="00F728F7" w:rsidRPr="00E15C8E" w:rsidSect="00E15C8E">
      <w:endnotePr>
        <w:numFmt w:val="decimal"/>
      </w:endnotePr>
      <w:pgSz w:w="12240" w:h="15840"/>
      <w:pgMar w:top="1440" w:right="1440" w:bottom="1440" w:left="1440" w:header="1440" w:footer="144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3"/>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69A9"/>
    <w:rsid w:val="00020E6E"/>
    <w:rsid w:val="000A4737"/>
    <w:rsid w:val="000B0C8F"/>
    <w:rsid w:val="000E680A"/>
    <w:rsid w:val="00101D7A"/>
    <w:rsid w:val="0010420F"/>
    <w:rsid w:val="001307F2"/>
    <w:rsid w:val="001475D0"/>
    <w:rsid w:val="00151566"/>
    <w:rsid w:val="0016575F"/>
    <w:rsid w:val="0017628E"/>
    <w:rsid w:val="001A6B75"/>
    <w:rsid w:val="001F3F7F"/>
    <w:rsid w:val="001F57C2"/>
    <w:rsid w:val="00201378"/>
    <w:rsid w:val="002078B8"/>
    <w:rsid w:val="00253C3B"/>
    <w:rsid w:val="00261BB3"/>
    <w:rsid w:val="002800AE"/>
    <w:rsid w:val="002818D5"/>
    <w:rsid w:val="00284EB6"/>
    <w:rsid w:val="002977C3"/>
    <w:rsid w:val="002A5476"/>
    <w:rsid w:val="002B721A"/>
    <w:rsid w:val="002C1C24"/>
    <w:rsid w:val="002C62A2"/>
    <w:rsid w:val="002F4EB4"/>
    <w:rsid w:val="00310F21"/>
    <w:rsid w:val="003962FE"/>
    <w:rsid w:val="003D568D"/>
    <w:rsid w:val="003E6785"/>
    <w:rsid w:val="004462C1"/>
    <w:rsid w:val="00486FF3"/>
    <w:rsid w:val="00496636"/>
    <w:rsid w:val="004B0821"/>
    <w:rsid w:val="00516D25"/>
    <w:rsid w:val="00522E4B"/>
    <w:rsid w:val="005309C7"/>
    <w:rsid w:val="0054534A"/>
    <w:rsid w:val="00550F3B"/>
    <w:rsid w:val="005566A4"/>
    <w:rsid w:val="00595DC5"/>
    <w:rsid w:val="005D22A7"/>
    <w:rsid w:val="005D3A47"/>
    <w:rsid w:val="005E452A"/>
    <w:rsid w:val="005E7446"/>
    <w:rsid w:val="006234F2"/>
    <w:rsid w:val="006C2F8E"/>
    <w:rsid w:val="00706A20"/>
    <w:rsid w:val="00713100"/>
    <w:rsid w:val="007222F4"/>
    <w:rsid w:val="007309B6"/>
    <w:rsid w:val="00734062"/>
    <w:rsid w:val="007A1B68"/>
    <w:rsid w:val="007C5E4D"/>
    <w:rsid w:val="00863A7B"/>
    <w:rsid w:val="00866F44"/>
    <w:rsid w:val="00876CD0"/>
    <w:rsid w:val="008919F6"/>
    <w:rsid w:val="0089518C"/>
    <w:rsid w:val="008C7D58"/>
    <w:rsid w:val="008F4E1C"/>
    <w:rsid w:val="00907C5A"/>
    <w:rsid w:val="00907C9F"/>
    <w:rsid w:val="00921E5D"/>
    <w:rsid w:val="0093231A"/>
    <w:rsid w:val="00935E46"/>
    <w:rsid w:val="00952B1A"/>
    <w:rsid w:val="00960AD5"/>
    <w:rsid w:val="00984DF2"/>
    <w:rsid w:val="009A72FC"/>
    <w:rsid w:val="009E4DA6"/>
    <w:rsid w:val="00A342FC"/>
    <w:rsid w:val="00A417B9"/>
    <w:rsid w:val="00A41D37"/>
    <w:rsid w:val="00A641F0"/>
    <w:rsid w:val="00A676D8"/>
    <w:rsid w:val="00A83740"/>
    <w:rsid w:val="00A86EE7"/>
    <w:rsid w:val="00AB3E17"/>
    <w:rsid w:val="00AB3E25"/>
    <w:rsid w:val="00AC48BE"/>
    <w:rsid w:val="00AF1519"/>
    <w:rsid w:val="00B12EA0"/>
    <w:rsid w:val="00B2523E"/>
    <w:rsid w:val="00B26AEE"/>
    <w:rsid w:val="00B31912"/>
    <w:rsid w:val="00B3504C"/>
    <w:rsid w:val="00B562ED"/>
    <w:rsid w:val="00B606F6"/>
    <w:rsid w:val="00B866D3"/>
    <w:rsid w:val="00BB5B12"/>
    <w:rsid w:val="00BC5E52"/>
    <w:rsid w:val="00BE00B1"/>
    <w:rsid w:val="00C17425"/>
    <w:rsid w:val="00C34145"/>
    <w:rsid w:val="00C6485F"/>
    <w:rsid w:val="00CA0A7D"/>
    <w:rsid w:val="00CA4226"/>
    <w:rsid w:val="00CA7CC9"/>
    <w:rsid w:val="00CC1DE2"/>
    <w:rsid w:val="00CC2F8D"/>
    <w:rsid w:val="00CE1493"/>
    <w:rsid w:val="00D10278"/>
    <w:rsid w:val="00D13FA2"/>
    <w:rsid w:val="00D221CB"/>
    <w:rsid w:val="00D26D4A"/>
    <w:rsid w:val="00D30C3D"/>
    <w:rsid w:val="00D41ABA"/>
    <w:rsid w:val="00D43AA0"/>
    <w:rsid w:val="00D468D6"/>
    <w:rsid w:val="00D47425"/>
    <w:rsid w:val="00D51B9B"/>
    <w:rsid w:val="00D66991"/>
    <w:rsid w:val="00DC38B4"/>
    <w:rsid w:val="00E154ED"/>
    <w:rsid w:val="00E15C8E"/>
    <w:rsid w:val="00E35B77"/>
    <w:rsid w:val="00E45401"/>
    <w:rsid w:val="00E62157"/>
    <w:rsid w:val="00EA2413"/>
    <w:rsid w:val="00ED03E0"/>
    <w:rsid w:val="00F1268F"/>
    <w:rsid w:val="00F20F2B"/>
    <w:rsid w:val="00F34571"/>
    <w:rsid w:val="00F421E6"/>
    <w:rsid w:val="00F44E2C"/>
    <w:rsid w:val="00F55D82"/>
    <w:rsid w:val="00F728F7"/>
    <w:rsid w:val="00F77677"/>
    <w:rsid w:val="00F87146"/>
    <w:rsid w:val="00FF25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D18E0"/>
  <w15:docId w15:val="{2E3EF052-14A3-4EC0-8E0B-C08377F8E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character" w:styleId="CommentReference">
    <w:name w:val="annotation reference"/>
    <w:basedOn w:val="DefaultParagraphFont"/>
    <w:uiPriority w:val="99"/>
    <w:semiHidden/>
    <w:unhideWhenUsed/>
    <w:rsid w:val="00713100"/>
    <w:rPr>
      <w:sz w:val="18"/>
      <w:szCs w:val="18"/>
    </w:rPr>
  </w:style>
  <w:style w:type="paragraph" w:styleId="CommentText">
    <w:name w:val="annotation text"/>
    <w:basedOn w:val="Normal"/>
    <w:link w:val="CommentTextChar"/>
    <w:uiPriority w:val="99"/>
    <w:unhideWhenUsed/>
    <w:rsid w:val="00713100"/>
    <w:rPr>
      <w:sz w:val="24"/>
    </w:rPr>
  </w:style>
  <w:style w:type="character" w:customStyle="1" w:styleId="CommentTextChar">
    <w:name w:val="Comment Text Char"/>
    <w:basedOn w:val="DefaultParagraphFont"/>
    <w:link w:val="CommentText"/>
    <w:uiPriority w:val="99"/>
    <w:rsid w:val="00713100"/>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713100"/>
    <w:rPr>
      <w:b/>
      <w:bCs/>
      <w:sz w:val="20"/>
      <w:szCs w:val="20"/>
    </w:rPr>
  </w:style>
  <w:style w:type="character" w:customStyle="1" w:styleId="CommentSubjectChar">
    <w:name w:val="Comment Subject Char"/>
    <w:basedOn w:val="CommentTextChar"/>
    <w:link w:val="CommentSubject"/>
    <w:uiPriority w:val="99"/>
    <w:semiHidden/>
    <w:rsid w:val="0071310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713100"/>
    <w:rPr>
      <w:sz w:val="18"/>
      <w:szCs w:val="18"/>
    </w:rPr>
  </w:style>
  <w:style w:type="character" w:customStyle="1" w:styleId="BalloonTextChar">
    <w:name w:val="Balloon Text Char"/>
    <w:basedOn w:val="DefaultParagraphFont"/>
    <w:link w:val="BalloonText"/>
    <w:uiPriority w:val="99"/>
    <w:semiHidden/>
    <w:rsid w:val="00713100"/>
    <w:rPr>
      <w:rFonts w:ascii="Times New Roman" w:eastAsia="Times New Roman" w:hAnsi="Times New Roman" w:cs="Times New Roman"/>
      <w:sz w:val="18"/>
      <w:szCs w:val="18"/>
    </w:rPr>
  </w:style>
  <w:style w:type="paragraph" w:customStyle="1" w:styleId="p1">
    <w:name w:val="p1"/>
    <w:basedOn w:val="Normal"/>
    <w:rsid w:val="004462C1"/>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462C1"/>
    <w:pPr>
      <w:widowControl/>
      <w:autoSpaceDE/>
      <w:autoSpaceDN/>
      <w:adjustRightInd/>
      <w:spacing w:line="180" w:lineRule="atLeast"/>
      <w:jc w:val="both"/>
    </w:pPr>
    <w:rPr>
      <w:rFonts w:ascii="Courier" w:eastAsiaTheme="minorHAnsi" w:hAnsi="Courier"/>
      <w:sz w:val="18"/>
      <w:szCs w:val="18"/>
    </w:rPr>
  </w:style>
  <w:style w:type="character" w:customStyle="1" w:styleId="s1">
    <w:name w:val="s1"/>
    <w:basedOn w:val="DefaultParagraphFont"/>
    <w:rsid w:val="004462C1"/>
    <w:rPr>
      <w:spacing w:val="-2"/>
    </w:rPr>
  </w:style>
  <w:style w:type="character" w:customStyle="1" w:styleId="apple-tab-span">
    <w:name w:val="apple-tab-span"/>
    <w:basedOn w:val="DefaultParagraphFont"/>
    <w:rsid w:val="004462C1"/>
  </w:style>
  <w:style w:type="character" w:customStyle="1" w:styleId="apple-converted-space">
    <w:name w:val="apple-converted-space"/>
    <w:basedOn w:val="DefaultParagraphFont"/>
    <w:rsid w:val="004462C1"/>
  </w:style>
  <w:style w:type="character" w:styleId="PlaceholderText">
    <w:name w:val="Placeholder Text"/>
    <w:basedOn w:val="DefaultParagraphFont"/>
    <w:uiPriority w:val="99"/>
    <w:semiHidden/>
    <w:rsid w:val="00F87146"/>
    <w:rPr>
      <w:color w:val="808080"/>
    </w:rPr>
  </w:style>
  <w:style w:type="character" w:customStyle="1" w:styleId="awspan">
    <w:name w:val="awspan"/>
    <w:basedOn w:val="DefaultParagraphFont"/>
    <w:rsid w:val="00E45401"/>
  </w:style>
  <w:style w:type="character" w:customStyle="1" w:styleId="highlight">
    <w:name w:val="highlight"/>
    <w:basedOn w:val="DefaultParagraphFont"/>
    <w:rsid w:val="00E454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89384047">
      <w:bodyDiv w:val="1"/>
      <w:marLeft w:val="0"/>
      <w:marRight w:val="0"/>
      <w:marTop w:val="0"/>
      <w:marBottom w:val="0"/>
      <w:divBdr>
        <w:top w:val="none" w:sz="0" w:space="0" w:color="auto"/>
        <w:left w:val="none" w:sz="0" w:space="0" w:color="auto"/>
        <w:bottom w:val="none" w:sz="0" w:space="0" w:color="auto"/>
        <w:right w:val="none" w:sz="0" w:space="0" w:color="auto"/>
      </w:divBdr>
      <w:divsChild>
        <w:div w:id="351733338">
          <w:marLeft w:val="0"/>
          <w:marRight w:val="0"/>
          <w:marTop w:val="200"/>
          <w:marBottom w:val="200"/>
          <w:divBdr>
            <w:top w:val="single" w:sz="8" w:space="0" w:color="000000"/>
            <w:left w:val="single" w:sz="8" w:space="0" w:color="000000"/>
            <w:bottom w:val="single" w:sz="8" w:space="0" w:color="000000"/>
            <w:right w:val="single" w:sz="8" w:space="0" w:color="000000"/>
          </w:divBdr>
          <w:divsChild>
            <w:div w:id="2012368465">
              <w:marLeft w:val="0"/>
              <w:marRight w:val="0"/>
              <w:marTop w:val="0"/>
              <w:marBottom w:val="0"/>
              <w:divBdr>
                <w:top w:val="none" w:sz="0" w:space="0" w:color="auto"/>
                <w:left w:val="none" w:sz="0" w:space="0" w:color="auto"/>
                <w:bottom w:val="none" w:sz="0" w:space="0" w:color="auto"/>
                <w:right w:val="none" w:sz="0" w:space="0" w:color="auto"/>
              </w:divBdr>
              <w:divsChild>
                <w:div w:id="2116365940">
                  <w:marLeft w:val="0"/>
                  <w:marRight w:val="0"/>
                  <w:marTop w:val="0"/>
                  <w:marBottom w:val="0"/>
                  <w:divBdr>
                    <w:top w:val="none" w:sz="0" w:space="0" w:color="auto"/>
                    <w:left w:val="none" w:sz="0" w:space="0" w:color="auto"/>
                    <w:bottom w:val="none" w:sz="0" w:space="0" w:color="auto"/>
                    <w:right w:val="none" w:sz="0" w:space="0" w:color="auto"/>
                  </w:divBdr>
                </w:div>
                <w:div w:id="660502660">
                  <w:marLeft w:val="0"/>
                  <w:marRight w:val="0"/>
                  <w:marTop w:val="0"/>
                  <w:marBottom w:val="0"/>
                  <w:divBdr>
                    <w:top w:val="none" w:sz="0" w:space="0" w:color="auto"/>
                    <w:left w:val="none" w:sz="0" w:space="0" w:color="auto"/>
                    <w:bottom w:val="none" w:sz="0" w:space="0" w:color="auto"/>
                    <w:right w:val="none" w:sz="0" w:space="0" w:color="auto"/>
                  </w:divBdr>
                </w:div>
                <w:div w:id="29884851">
                  <w:marLeft w:val="0"/>
                  <w:marRight w:val="0"/>
                  <w:marTop w:val="0"/>
                  <w:marBottom w:val="0"/>
                  <w:divBdr>
                    <w:top w:val="none" w:sz="0" w:space="0" w:color="auto"/>
                    <w:left w:val="none" w:sz="0" w:space="0" w:color="auto"/>
                    <w:bottom w:val="none" w:sz="0" w:space="0" w:color="auto"/>
                    <w:right w:val="none" w:sz="0" w:space="0" w:color="auto"/>
                  </w:divBdr>
                </w:div>
                <w:div w:id="774836036">
                  <w:marLeft w:val="0"/>
                  <w:marRight w:val="0"/>
                  <w:marTop w:val="0"/>
                  <w:marBottom w:val="0"/>
                  <w:divBdr>
                    <w:top w:val="none" w:sz="0" w:space="0" w:color="auto"/>
                    <w:left w:val="none" w:sz="0" w:space="0" w:color="auto"/>
                    <w:bottom w:val="none" w:sz="0" w:space="0" w:color="auto"/>
                    <w:right w:val="none" w:sz="0" w:space="0" w:color="auto"/>
                  </w:divBdr>
                </w:div>
                <w:div w:id="868880514">
                  <w:marLeft w:val="0"/>
                  <w:marRight w:val="0"/>
                  <w:marTop w:val="0"/>
                  <w:marBottom w:val="0"/>
                  <w:divBdr>
                    <w:top w:val="none" w:sz="0" w:space="0" w:color="auto"/>
                    <w:left w:val="none" w:sz="0" w:space="0" w:color="auto"/>
                    <w:bottom w:val="none" w:sz="0" w:space="0" w:color="auto"/>
                    <w:right w:val="none" w:sz="0" w:space="0" w:color="auto"/>
                  </w:divBdr>
                </w:div>
                <w:div w:id="1319308469">
                  <w:marLeft w:val="0"/>
                  <w:marRight w:val="0"/>
                  <w:marTop w:val="0"/>
                  <w:marBottom w:val="0"/>
                  <w:divBdr>
                    <w:top w:val="none" w:sz="0" w:space="0" w:color="auto"/>
                    <w:left w:val="none" w:sz="0" w:space="0" w:color="auto"/>
                    <w:bottom w:val="none" w:sz="0" w:space="0" w:color="auto"/>
                    <w:right w:val="none" w:sz="0" w:space="0" w:color="auto"/>
                  </w:divBdr>
                </w:div>
                <w:div w:id="219830477">
                  <w:marLeft w:val="0"/>
                  <w:marRight w:val="0"/>
                  <w:marTop w:val="0"/>
                  <w:marBottom w:val="0"/>
                  <w:divBdr>
                    <w:top w:val="none" w:sz="0" w:space="0" w:color="auto"/>
                    <w:left w:val="none" w:sz="0" w:space="0" w:color="auto"/>
                    <w:bottom w:val="none" w:sz="0" w:space="0" w:color="auto"/>
                    <w:right w:val="none" w:sz="0" w:space="0" w:color="auto"/>
                  </w:divBdr>
                </w:div>
                <w:div w:id="1155604511">
                  <w:marLeft w:val="0"/>
                  <w:marRight w:val="0"/>
                  <w:marTop w:val="0"/>
                  <w:marBottom w:val="0"/>
                  <w:divBdr>
                    <w:top w:val="none" w:sz="0" w:space="0" w:color="auto"/>
                    <w:left w:val="none" w:sz="0" w:space="0" w:color="auto"/>
                    <w:bottom w:val="none" w:sz="0" w:space="0" w:color="auto"/>
                    <w:right w:val="none" w:sz="0" w:space="0" w:color="auto"/>
                  </w:divBdr>
                </w:div>
                <w:div w:id="1224026222">
                  <w:marLeft w:val="0"/>
                  <w:marRight w:val="0"/>
                  <w:marTop w:val="0"/>
                  <w:marBottom w:val="0"/>
                  <w:divBdr>
                    <w:top w:val="none" w:sz="0" w:space="0" w:color="auto"/>
                    <w:left w:val="none" w:sz="0" w:space="0" w:color="auto"/>
                    <w:bottom w:val="none" w:sz="0" w:space="0" w:color="auto"/>
                    <w:right w:val="none" w:sz="0" w:space="0" w:color="auto"/>
                  </w:divBdr>
                </w:div>
                <w:div w:id="521824410">
                  <w:marLeft w:val="0"/>
                  <w:marRight w:val="0"/>
                  <w:marTop w:val="0"/>
                  <w:marBottom w:val="0"/>
                  <w:divBdr>
                    <w:top w:val="none" w:sz="0" w:space="0" w:color="auto"/>
                    <w:left w:val="none" w:sz="0" w:space="0" w:color="auto"/>
                    <w:bottom w:val="none" w:sz="0" w:space="0" w:color="auto"/>
                    <w:right w:val="none" w:sz="0" w:space="0" w:color="auto"/>
                  </w:divBdr>
                </w:div>
                <w:div w:id="328749510">
                  <w:marLeft w:val="0"/>
                  <w:marRight w:val="0"/>
                  <w:marTop w:val="0"/>
                  <w:marBottom w:val="0"/>
                  <w:divBdr>
                    <w:top w:val="none" w:sz="0" w:space="0" w:color="auto"/>
                    <w:left w:val="none" w:sz="0" w:space="0" w:color="auto"/>
                    <w:bottom w:val="none" w:sz="0" w:space="0" w:color="auto"/>
                    <w:right w:val="none" w:sz="0" w:space="0" w:color="auto"/>
                  </w:divBdr>
                </w:div>
                <w:div w:id="1173570530">
                  <w:marLeft w:val="0"/>
                  <w:marRight w:val="0"/>
                  <w:marTop w:val="0"/>
                  <w:marBottom w:val="0"/>
                  <w:divBdr>
                    <w:top w:val="none" w:sz="0" w:space="0" w:color="auto"/>
                    <w:left w:val="none" w:sz="0" w:space="0" w:color="auto"/>
                    <w:bottom w:val="none" w:sz="0" w:space="0" w:color="auto"/>
                    <w:right w:val="none" w:sz="0" w:space="0" w:color="auto"/>
                  </w:divBdr>
                </w:div>
                <w:div w:id="1334987314">
                  <w:marLeft w:val="0"/>
                  <w:marRight w:val="0"/>
                  <w:marTop w:val="0"/>
                  <w:marBottom w:val="0"/>
                  <w:divBdr>
                    <w:top w:val="none" w:sz="0" w:space="0" w:color="auto"/>
                    <w:left w:val="none" w:sz="0" w:space="0" w:color="auto"/>
                    <w:bottom w:val="none" w:sz="0" w:space="0" w:color="auto"/>
                    <w:right w:val="none" w:sz="0" w:space="0" w:color="auto"/>
                  </w:divBdr>
                </w:div>
                <w:div w:id="123473056">
                  <w:marLeft w:val="0"/>
                  <w:marRight w:val="0"/>
                  <w:marTop w:val="0"/>
                  <w:marBottom w:val="0"/>
                  <w:divBdr>
                    <w:top w:val="none" w:sz="0" w:space="0" w:color="auto"/>
                    <w:left w:val="none" w:sz="0" w:space="0" w:color="auto"/>
                    <w:bottom w:val="none" w:sz="0" w:space="0" w:color="auto"/>
                    <w:right w:val="none" w:sz="0" w:space="0" w:color="auto"/>
                  </w:divBdr>
                </w:div>
                <w:div w:id="1693992592">
                  <w:marLeft w:val="0"/>
                  <w:marRight w:val="0"/>
                  <w:marTop w:val="0"/>
                  <w:marBottom w:val="0"/>
                  <w:divBdr>
                    <w:top w:val="none" w:sz="0" w:space="0" w:color="auto"/>
                    <w:left w:val="none" w:sz="0" w:space="0" w:color="auto"/>
                    <w:bottom w:val="none" w:sz="0" w:space="0" w:color="auto"/>
                    <w:right w:val="none" w:sz="0" w:space="0" w:color="auto"/>
                  </w:divBdr>
                </w:div>
                <w:div w:id="206180889">
                  <w:marLeft w:val="0"/>
                  <w:marRight w:val="0"/>
                  <w:marTop w:val="0"/>
                  <w:marBottom w:val="0"/>
                  <w:divBdr>
                    <w:top w:val="none" w:sz="0" w:space="0" w:color="auto"/>
                    <w:left w:val="none" w:sz="0" w:space="0" w:color="auto"/>
                    <w:bottom w:val="none" w:sz="0" w:space="0" w:color="auto"/>
                    <w:right w:val="none" w:sz="0" w:space="0" w:color="auto"/>
                  </w:divBdr>
                </w:div>
                <w:div w:id="1519730227">
                  <w:marLeft w:val="0"/>
                  <w:marRight w:val="0"/>
                  <w:marTop w:val="0"/>
                  <w:marBottom w:val="0"/>
                  <w:divBdr>
                    <w:top w:val="none" w:sz="0" w:space="0" w:color="auto"/>
                    <w:left w:val="none" w:sz="0" w:space="0" w:color="auto"/>
                    <w:bottom w:val="none" w:sz="0" w:space="0" w:color="auto"/>
                    <w:right w:val="none" w:sz="0" w:space="0" w:color="auto"/>
                  </w:divBdr>
                </w:div>
                <w:div w:id="1241795332">
                  <w:marLeft w:val="0"/>
                  <w:marRight w:val="0"/>
                  <w:marTop w:val="0"/>
                  <w:marBottom w:val="0"/>
                  <w:divBdr>
                    <w:top w:val="none" w:sz="0" w:space="0" w:color="auto"/>
                    <w:left w:val="none" w:sz="0" w:space="0" w:color="auto"/>
                    <w:bottom w:val="none" w:sz="0" w:space="0" w:color="auto"/>
                    <w:right w:val="none" w:sz="0" w:space="0" w:color="auto"/>
                  </w:divBdr>
                </w:div>
                <w:div w:id="1950427326">
                  <w:marLeft w:val="0"/>
                  <w:marRight w:val="0"/>
                  <w:marTop w:val="0"/>
                  <w:marBottom w:val="0"/>
                  <w:divBdr>
                    <w:top w:val="none" w:sz="0" w:space="0" w:color="auto"/>
                    <w:left w:val="none" w:sz="0" w:space="0" w:color="auto"/>
                    <w:bottom w:val="none" w:sz="0" w:space="0" w:color="auto"/>
                    <w:right w:val="none" w:sz="0" w:space="0" w:color="auto"/>
                  </w:divBdr>
                </w:div>
                <w:div w:id="141966103">
                  <w:marLeft w:val="0"/>
                  <w:marRight w:val="0"/>
                  <w:marTop w:val="0"/>
                  <w:marBottom w:val="0"/>
                  <w:divBdr>
                    <w:top w:val="none" w:sz="0" w:space="0" w:color="auto"/>
                    <w:left w:val="none" w:sz="0" w:space="0" w:color="auto"/>
                    <w:bottom w:val="none" w:sz="0" w:space="0" w:color="auto"/>
                    <w:right w:val="none" w:sz="0" w:space="0" w:color="auto"/>
                  </w:divBdr>
                </w:div>
                <w:div w:id="211699169">
                  <w:marLeft w:val="0"/>
                  <w:marRight w:val="0"/>
                  <w:marTop w:val="0"/>
                  <w:marBottom w:val="0"/>
                  <w:divBdr>
                    <w:top w:val="none" w:sz="0" w:space="0" w:color="auto"/>
                    <w:left w:val="none" w:sz="0" w:space="0" w:color="auto"/>
                    <w:bottom w:val="none" w:sz="0" w:space="0" w:color="auto"/>
                    <w:right w:val="none" w:sz="0" w:space="0" w:color="auto"/>
                  </w:divBdr>
                </w:div>
                <w:div w:id="1660185195">
                  <w:marLeft w:val="0"/>
                  <w:marRight w:val="0"/>
                  <w:marTop w:val="0"/>
                  <w:marBottom w:val="0"/>
                  <w:divBdr>
                    <w:top w:val="none" w:sz="0" w:space="0" w:color="auto"/>
                    <w:left w:val="none" w:sz="0" w:space="0" w:color="auto"/>
                    <w:bottom w:val="none" w:sz="0" w:space="0" w:color="auto"/>
                    <w:right w:val="none" w:sz="0" w:space="0" w:color="auto"/>
                  </w:divBdr>
                </w:div>
                <w:div w:id="1166097100">
                  <w:marLeft w:val="0"/>
                  <w:marRight w:val="0"/>
                  <w:marTop w:val="0"/>
                  <w:marBottom w:val="0"/>
                  <w:divBdr>
                    <w:top w:val="none" w:sz="0" w:space="0" w:color="auto"/>
                    <w:left w:val="none" w:sz="0" w:space="0" w:color="auto"/>
                    <w:bottom w:val="none" w:sz="0" w:space="0" w:color="auto"/>
                    <w:right w:val="none" w:sz="0" w:space="0" w:color="auto"/>
                  </w:divBdr>
                </w:div>
                <w:div w:id="793593721">
                  <w:marLeft w:val="0"/>
                  <w:marRight w:val="0"/>
                  <w:marTop w:val="0"/>
                  <w:marBottom w:val="0"/>
                  <w:divBdr>
                    <w:top w:val="none" w:sz="0" w:space="0" w:color="auto"/>
                    <w:left w:val="none" w:sz="0" w:space="0" w:color="auto"/>
                    <w:bottom w:val="none" w:sz="0" w:space="0" w:color="auto"/>
                    <w:right w:val="none" w:sz="0" w:space="0" w:color="auto"/>
                  </w:divBdr>
                </w:div>
                <w:div w:id="429551494">
                  <w:marLeft w:val="0"/>
                  <w:marRight w:val="0"/>
                  <w:marTop w:val="0"/>
                  <w:marBottom w:val="0"/>
                  <w:divBdr>
                    <w:top w:val="none" w:sz="0" w:space="0" w:color="auto"/>
                    <w:left w:val="none" w:sz="0" w:space="0" w:color="auto"/>
                    <w:bottom w:val="none" w:sz="0" w:space="0" w:color="auto"/>
                    <w:right w:val="none" w:sz="0" w:space="0" w:color="auto"/>
                  </w:divBdr>
                </w:div>
                <w:div w:id="381515791">
                  <w:marLeft w:val="0"/>
                  <w:marRight w:val="0"/>
                  <w:marTop w:val="0"/>
                  <w:marBottom w:val="0"/>
                  <w:divBdr>
                    <w:top w:val="none" w:sz="0" w:space="0" w:color="auto"/>
                    <w:left w:val="none" w:sz="0" w:space="0" w:color="auto"/>
                    <w:bottom w:val="none" w:sz="0" w:space="0" w:color="auto"/>
                    <w:right w:val="none" w:sz="0" w:space="0" w:color="auto"/>
                  </w:divBdr>
                </w:div>
                <w:div w:id="1927112067">
                  <w:marLeft w:val="0"/>
                  <w:marRight w:val="0"/>
                  <w:marTop w:val="0"/>
                  <w:marBottom w:val="0"/>
                  <w:divBdr>
                    <w:top w:val="none" w:sz="0" w:space="0" w:color="auto"/>
                    <w:left w:val="none" w:sz="0" w:space="0" w:color="auto"/>
                    <w:bottom w:val="none" w:sz="0" w:space="0" w:color="auto"/>
                    <w:right w:val="none" w:sz="0" w:space="0" w:color="auto"/>
                  </w:divBdr>
                </w:div>
                <w:div w:id="170491509">
                  <w:marLeft w:val="0"/>
                  <w:marRight w:val="0"/>
                  <w:marTop w:val="0"/>
                  <w:marBottom w:val="0"/>
                  <w:divBdr>
                    <w:top w:val="none" w:sz="0" w:space="0" w:color="auto"/>
                    <w:left w:val="none" w:sz="0" w:space="0" w:color="auto"/>
                    <w:bottom w:val="none" w:sz="0" w:space="0" w:color="auto"/>
                    <w:right w:val="none" w:sz="0" w:space="0" w:color="auto"/>
                  </w:divBdr>
                </w:div>
                <w:div w:id="162864290">
                  <w:marLeft w:val="0"/>
                  <w:marRight w:val="0"/>
                  <w:marTop w:val="0"/>
                  <w:marBottom w:val="0"/>
                  <w:divBdr>
                    <w:top w:val="none" w:sz="0" w:space="0" w:color="auto"/>
                    <w:left w:val="none" w:sz="0" w:space="0" w:color="auto"/>
                    <w:bottom w:val="none" w:sz="0" w:space="0" w:color="auto"/>
                    <w:right w:val="none" w:sz="0" w:space="0" w:color="auto"/>
                  </w:divBdr>
                </w:div>
                <w:div w:id="1993749317">
                  <w:marLeft w:val="0"/>
                  <w:marRight w:val="0"/>
                  <w:marTop w:val="0"/>
                  <w:marBottom w:val="0"/>
                  <w:divBdr>
                    <w:top w:val="none" w:sz="0" w:space="0" w:color="auto"/>
                    <w:left w:val="none" w:sz="0" w:space="0" w:color="auto"/>
                    <w:bottom w:val="none" w:sz="0" w:space="0" w:color="auto"/>
                    <w:right w:val="none" w:sz="0" w:space="0" w:color="auto"/>
                  </w:divBdr>
                </w:div>
                <w:div w:id="1819032777">
                  <w:marLeft w:val="0"/>
                  <w:marRight w:val="0"/>
                  <w:marTop w:val="0"/>
                  <w:marBottom w:val="0"/>
                  <w:divBdr>
                    <w:top w:val="none" w:sz="0" w:space="0" w:color="auto"/>
                    <w:left w:val="none" w:sz="0" w:space="0" w:color="auto"/>
                    <w:bottom w:val="none" w:sz="0" w:space="0" w:color="auto"/>
                    <w:right w:val="none" w:sz="0" w:space="0" w:color="auto"/>
                  </w:divBdr>
                </w:div>
                <w:div w:id="195581554">
                  <w:marLeft w:val="0"/>
                  <w:marRight w:val="0"/>
                  <w:marTop w:val="0"/>
                  <w:marBottom w:val="0"/>
                  <w:divBdr>
                    <w:top w:val="none" w:sz="0" w:space="0" w:color="auto"/>
                    <w:left w:val="none" w:sz="0" w:space="0" w:color="auto"/>
                    <w:bottom w:val="none" w:sz="0" w:space="0" w:color="auto"/>
                    <w:right w:val="none" w:sz="0" w:space="0" w:color="auto"/>
                  </w:divBdr>
                </w:div>
                <w:div w:id="1691297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642456">
          <w:marLeft w:val="0"/>
          <w:marRight w:val="0"/>
          <w:marTop w:val="200"/>
          <w:marBottom w:val="200"/>
          <w:divBdr>
            <w:top w:val="single" w:sz="8" w:space="0" w:color="000000"/>
            <w:left w:val="single" w:sz="8" w:space="0" w:color="000000"/>
            <w:bottom w:val="single" w:sz="8" w:space="0" w:color="000000"/>
            <w:right w:val="single" w:sz="8" w:space="0" w:color="000000"/>
          </w:divBdr>
          <w:divsChild>
            <w:div w:id="751584908">
              <w:marLeft w:val="0"/>
              <w:marRight w:val="0"/>
              <w:marTop w:val="0"/>
              <w:marBottom w:val="0"/>
              <w:divBdr>
                <w:top w:val="none" w:sz="0" w:space="0" w:color="auto"/>
                <w:left w:val="none" w:sz="0" w:space="0" w:color="auto"/>
                <w:bottom w:val="none" w:sz="0" w:space="0" w:color="auto"/>
                <w:right w:val="none" w:sz="0" w:space="0" w:color="auto"/>
              </w:divBdr>
              <w:divsChild>
                <w:div w:id="695928219">
                  <w:marLeft w:val="0"/>
                  <w:marRight w:val="0"/>
                  <w:marTop w:val="0"/>
                  <w:marBottom w:val="0"/>
                  <w:divBdr>
                    <w:top w:val="none" w:sz="0" w:space="0" w:color="auto"/>
                    <w:left w:val="none" w:sz="0" w:space="0" w:color="auto"/>
                    <w:bottom w:val="none" w:sz="0" w:space="0" w:color="auto"/>
                    <w:right w:val="none" w:sz="0" w:space="0" w:color="auto"/>
                  </w:divBdr>
                </w:div>
                <w:div w:id="409278665">
                  <w:marLeft w:val="0"/>
                  <w:marRight w:val="0"/>
                  <w:marTop w:val="0"/>
                  <w:marBottom w:val="0"/>
                  <w:divBdr>
                    <w:top w:val="none" w:sz="0" w:space="0" w:color="auto"/>
                    <w:left w:val="none" w:sz="0" w:space="0" w:color="auto"/>
                    <w:bottom w:val="none" w:sz="0" w:space="0" w:color="auto"/>
                    <w:right w:val="none" w:sz="0" w:space="0" w:color="auto"/>
                  </w:divBdr>
                </w:div>
                <w:div w:id="1894147229">
                  <w:marLeft w:val="0"/>
                  <w:marRight w:val="0"/>
                  <w:marTop w:val="0"/>
                  <w:marBottom w:val="0"/>
                  <w:divBdr>
                    <w:top w:val="none" w:sz="0" w:space="0" w:color="auto"/>
                    <w:left w:val="none" w:sz="0" w:space="0" w:color="auto"/>
                    <w:bottom w:val="none" w:sz="0" w:space="0" w:color="auto"/>
                    <w:right w:val="none" w:sz="0" w:space="0" w:color="auto"/>
                  </w:divBdr>
                </w:div>
                <w:div w:id="2065642058">
                  <w:marLeft w:val="0"/>
                  <w:marRight w:val="0"/>
                  <w:marTop w:val="0"/>
                  <w:marBottom w:val="0"/>
                  <w:divBdr>
                    <w:top w:val="none" w:sz="0" w:space="0" w:color="auto"/>
                    <w:left w:val="none" w:sz="0" w:space="0" w:color="auto"/>
                    <w:bottom w:val="none" w:sz="0" w:space="0" w:color="auto"/>
                    <w:right w:val="none" w:sz="0" w:space="0" w:color="auto"/>
                  </w:divBdr>
                </w:div>
                <w:div w:id="1408258923">
                  <w:marLeft w:val="0"/>
                  <w:marRight w:val="0"/>
                  <w:marTop w:val="0"/>
                  <w:marBottom w:val="0"/>
                  <w:divBdr>
                    <w:top w:val="none" w:sz="0" w:space="0" w:color="auto"/>
                    <w:left w:val="none" w:sz="0" w:space="0" w:color="auto"/>
                    <w:bottom w:val="none" w:sz="0" w:space="0" w:color="auto"/>
                    <w:right w:val="none" w:sz="0" w:space="0" w:color="auto"/>
                  </w:divBdr>
                </w:div>
                <w:div w:id="1287467375">
                  <w:marLeft w:val="0"/>
                  <w:marRight w:val="0"/>
                  <w:marTop w:val="0"/>
                  <w:marBottom w:val="0"/>
                  <w:divBdr>
                    <w:top w:val="none" w:sz="0" w:space="0" w:color="auto"/>
                    <w:left w:val="none" w:sz="0" w:space="0" w:color="auto"/>
                    <w:bottom w:val="none" w:sz="0" w:space="0" w:color="auto"/>
                    <w:right w:val="none" w:sz="0" w:space="0" w:color="auto"/>
                  </w:divBdr>
                </w:div>
                <w:div w:id="1991908047">
                  <w:marLeft w:val="0"/>
                  <w:marRight w:val="0"/>
                  <w:marTop w:val="0"/>
                  <w:marBottom w:val="0"/>
                  <w:divBdr>
                    <w:top w:val="none" w:sz="0" w:space="0" w:color="auto"/>
                    <w:left w:val="none" w:sz="0" w:space="0" w:color="auto"/>
                    <w:bottom w:val="none" w:sz="0" w:space="0" w:color="auto"/>
                    <w:right w:val="none" w:sz="0" w:space="0" w:color="auto"/>
                  </w:divBdr>
                </w:div>
                <w:div w:id="2062047389">
                  <w:marLeft w:val="0"/>
                  <w:marRight w:val="0"/>
                  <w:marTop w:val="0"/>
                  <w:marBottom w:val="0"/>
                  <w:divBdr>
                    <w:top w:val="none" w:sz="0" w:space="0" w:color="auto"/>
                    <w:left w:val="none" w:sz="0" w:space="0" w:color="auto"/>
                    <w:bottom w:val="none" w:sz="0" w:space="0" w:color="auto"/>
                    <w:right w:val="none" w:sz="0" w:space="0" w:color="auto"/>
                  </w:divBdr>
                </w:div>
                <w:div w:id="369183598">
                  <w:marLeft w:val="0"/>
                  <w:marRight w:val="0"/>
                  <w:marTop w:val="0"/>
                  <w:marBottom w:val="0"/>
                  <w:divBdr>
                    <w:top w:val="none" w:sz="0" w:space="0" w:color="auto"/>
                    <w:left w:val="none" w:sz="0" w:space="0" w:color="auto"/>
                    <w:bottom w:val="none" w:sz="0" w:space="0" w:color="auto"/>
                    <w:right w:val="none" w:sz="0" w:space="0" w:color="auto"/>
                  </w:divBdr>
                </w:div>
                <w:div w:id="1273980300">
                  <w:marLeft w:val="0"/>
                  <w:marRight w:val="0"/>
                  <w:marTop w:val="0"/>
                  <w:marBottom w:val="0"/>
                  <w:divBdr>
                    <w:top w:val="none" w:sz="0" w:space="0" w:color="auto"/>
                    <w:left w:val="none" w:sz="0" w:space="0" w:color="auto"/>
                    <w:bottom w:val="none" w:sz="0" w:space="0" w:color="auto"/>
                    <w:right w:val="none" w:sz="0" w:space="0" w:color="auto"/>
                  </w:divBdr>
                </w:div>
                <w:div w:id="1698697294">
                  <w:marLeft w:val="0"/>
                  <w:marRight w:val="0"/>
                  <w:marTop w:val="0"/>
                  <w:marBottom w:val="0"/>
                  <w:divBdr>
                    <w:top w:val="none" w:sz="0" w:space="0" w:color="auto"/>
                    <w:left w:val="none" w:sz="0" w:space="0" w:color="auto"/>
                    <w:bottom w:val="none" w:sz="0" w:space="0" w:color="auto"/>
                    <w:right w:val="none" w:sz="0" w:space="0" w:color="auto"/>
                  </w:divBdr>
                </w:div>
                <w:div w:id="2145155689">
                  <w:marLeft w:val="0"/>
                  <w:marRight w:val="0"/>
                  <w:marTop w:val="0"/>
                  <w:marBottom w:val="0"/>
                  <w:divBdr>
                    <w:top w:val="none" w:sz="0" w:space="0" w:color="auto"/>
                    <w:left w:val="none" w:sz="0" w:space="0" w:color="auto"/>
                    <w:bottom w:val="none" w:sz="0" w:space="0" w:color="auto"/>
                    <w:right w:val="none" w:sz="0" w:space="0" w:color="auto"/>
                  </w:divBdr>
                </w:div>
                <w:div w:id="1252743269">
                  <w:marLeft w:val="0"/>
                  <w:marRight w:val="0"/>
                  <w:marTop w:val="0"/>
                  <w:marBottom w:val="0"/>
                  <w:divBdr>
                    <w:top w:val="none" w:sz="0" w:space="0" w:color="auto"/>
                    <w:left w:val="none" w:sz="0" w:space="0" w:color="auto"/>
                    <w:bottom w:val="none" w:sz="0" w:space="0" w:color="auto"/>
                    <w:right w:val="none" w:sz="0" w:space="0" w:color="auto"/>
                  </w:divBdr>
                </w:div>
                <w:div w:id="833952306">
                  <w:marLeft w:val="0"/>
                  <w:marRight w:val="0"/>
                  <w:marTop w:val="0"/>
                  <w:marBottom w:val="0"/>
                  <w:divBdr>
                    <w:top w:val="none" w:sz="0" w:space="0" w:color="auto"/>
                    <w:left w:val="none" w:sz="0" w:space="0" w:color="auto"/>
                    <w:bottom w:val="none" w:sz="0" w:space="0" w:color="auto"/>
                    <w:right w:val="none" w:sz="0" w:space="0" w:color="auto"/>
                  </w:divBdr>
                </w:div>
                <w:div w:id="100414439">
                  <w:marLeft w:val="0"/>
                  <w:marRight w:val="0"/>
                  <w:marTop w:val="0"/>
                  <w:marBottom w:val="0"/>
                  <w:divBdr>
                    <w:top w:val="none" w:sz="0" w:space="0" w:color="auto"/>
                    <w:left w:val="none" w:sz="0" w:space="0" w:color="auto"/>
                    <w:bottom w:val="none" w:sz="0" w:space="0" w:color="auto"/>
                    <w:right w:val="none" w:sz="0" w:space="0" w:color="auto"/>
                  </w:divBdr>
                </w:div>
                <w:div w:id="1331830559">
                  <w:marLeft w:val="0"/>
                  <w:marRight w:val="0"/>
                  <w:marTop w:val="0"/>
                  <w:marBottom w:val="0"/>
                  <w:divBdr>
                    <w:top w:val="none" w:sz="0" w:space="0" w:color="auto"/>
                    <w:left w:val="none" w:sz="0" w:space="0" w:color="auto"/>
                    <w:bottom w:val="none" w:sz="0" w:space="0" w:color="auto"/>
                    <w:right w:val="none" w:sz="0" w:space="0" w:color="auto"/>
                  </w:divBdr>
                </w:div>
                <w:div w:id="26369392">
                  <w:marLeft w:val="0"/>
                  <w:marRight w:val="0"/>
                  <w:marTop w:val="0"/>
                  <w:marBottom w:val="0"/>
                  <w:divBdr>
                    <w:top w:val="none" w:sz="0" w:space="0" w:color="auto"/>
                    <w:left w:val="none" w:sz="0" w:space="0" w:color="auto"/>
                    <w:bottom w:val="none" w:sz="0" w:space="0" w:color="auto"/>
                    <w:right w:val="none" w:sz="0" w:space="0" w:color="auto"/>
                  </w:divBdr>
                </w:div>
                <w:div w:id="1127776098">
                  <w:marLeft w:val="0"/>
                  <w:marRight w:val="0"/>
                  <w:marTop w:val="0"/>
                  <w:marBottom w:val="0"/>
                  <w:divBdr>
                    <w:top w:val="none" w:sz="0" w:space="0" w:color="auto"/>
                    <w:left w:val="none" w:sz="0" w:space="0" w:color="auto"/>
                    <w:bottom w:val="none" w:sz="0" w:space="0" w:color="auto"/>
                    <w:right w:val="none" w:sz="0" w:space="0" w:color="auto"/>
                  </w:divBdr>
                </w:div>
                <w:div w:id="229848951">
                  <w:marLeft w:val="0"/>
                  <w:marRight w:val="0"/>
                  <w:marTop w:val="0"/>
                  <w:marBottom w:val="0"/>
                  <w:divBdr>
                    <w:top w:val="none" w:sz="0" w:space="0" w:color="auto"/>
                    <w:left w:val="none" w:sz="0" w:space="0" w:color="auto"/>
                    <w:bottom w:val="none" w:sz="0" w:space="0" w:color="auto"/>
                    <w:right w:val="none" w:sz="0" w:space="0" w:color="auto"/>
                  </w:divBdr>
                </w:div>
                <w:div w:id="1838618226">
                  <w:marLeft w:val="0"/>
                  <w:marRight w:val="0"/>
                  <w:marTop w:val="0"/>
                  <w:marBottom w:val="0"/>
                  <w:divBdr>
                    <w:top w:val="none" w:sz="0" w:space="0" w:color="auto"/>
                    <w:left w:val="none" w:sz="0" w:space="0" w:color="auto"/>
                    <w:bottom w:val="none" w:sz="0" w:space="0" w:color="auto"/>
                    <w:right w:val="none" w:sz="0" w:space="0" w:color="auto"/>
                  </w:divBdr>
                </w:div>
                <w:div w:id="764106775">
                  <w:marLeft w:val="0"/>
                  <w:marRight w:val="0"/>
                  <w:marTop w:val="0"/>
                  <w:marBottom w:val="0"/>
                  <w:divBdr>
                    <w:top w:val="none" w:sz="0" w:space="0" w:color="auto"/>
                    <w:left w:val="none" w:sz="0" w:space="0" w:color="auto"/>
                    <w:bottom w:val="none" w:sz="0" w:space="0" w:color="auto"/>
                    <w:right w:val="none" w:sz="0" w:space="0" w:color="auto"/>
                  </w:divBdr>
                </w:div>
                <w:div w:id="250555153">
                  <w:marLeft w:val="0"/>
                  <w:marRight w:val="0"/>
                  <w:marTop w:val="0"/>
                  <w:marBottom w:val="0"/>
                  <w:divBdr>
                    <w:top w:val="none" w:sz="0" w:space="0" w:color="auto"/>
                    <w:left w:val="none" w:sz="0" w:space="0" w:color="auto"/>
                    <w:bottom w:val="none" w:sz="0" w:space="0" w:color="auto"/>
                    <w:right w:val="none" w:sz="0" w:space="0" w:color="auto"/>
                  </w:divBdr>
                </w:div>
                <w:div w:id="1054038672">
                  <w:marLeft w:val="0"/>
                  <w:marRight w:val="0"/>
                  <w:marTop w:val="0"/>
                  <w:marBottom w:val="0"/>
                  <w:divBdr>
                    <w:top w:val="none" w:sz="0" w:space="0" w:color="auto"/>
                    <w:left w:val="none" w:sz="0" w:space="0" w:color="auto"/>
                    <w:bottom w:val="none" w:sz="0" w:space="0" w:color="auto"/>
                    <w:right w:val="none" w:sz="0" w:space="0" w:color="auto"/>
                  </w:divBdr>
                </w:div>
                <w:div w:id="2061709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576695">
          <w:marLeft w:val="0"/>
          <w:marRight w:val="0"/>
          <w:marTop w:val="200"/>
          <w:marBottom w:val="200"/>
          <w:divBdr>
            <w:top w:val="single" w:sz="8" w:space="0" w:color="000000"/>
            <w:left w:val="single" w:sz="8" w:space="0" w:color="000000"/>
            <w:bottom w:val="single" w:sz="8" w:space="0" w:color="000000"/>
            <w:right w:val="single" w:sz="8" w:space="0" w:color="000000"/>
          </w:divBdr>
          <w:divsChild>
            <w:div w:id="935603082">
              <w:marLeft w:val="0"/>
              <w:marRight w:val="0"/>
              <w:marTop w:val="0"/>
              <w:marBottom w:val="0"/>
              <w:divBdr>
                <w:top w:val="none" w:sz="0" w:space="0" w:color="auto"/>
                <w:left w:val="none" w:sz="0" w:space="0" w:color="auto"/>
                <w:bottom w:val="none" w:sz="0" w:space="0" w:color="auto"/>
                <w:right w:val="none" w:sz="0" w:space="0" w:color="auto"/>
              </w:divBdr>
              <w:divsChild>
                <w:div w:id="1433283767">
                  <w:marLeft w:val="0"/>
                  <w:marRight w:val="0"/>
                  <w:marTop w:val="0"/>
                  <w:marBottom w:val="0"/>
                  <w:divBdr>
                    <w:top w:val="none" w:sz="0" w:space="0" w:color="auto"/>
                    <w:left w:val="none" w:sz="0" w:space="0" w:color="auto"/>
                    <w:bottom w:val="none" w:sz="0" w:space="0" w:color="auto"/>
                    <w:right w:val="none" w:sz="0" w:space="0" w:color="auto"/>
                  </w:divBdr>
                </w:div>
                <w:div w:id="72360481">
                  <w:marLeft w:val="0"/>
                  <w:marRight w:val="0"/>
                  <w:marTop w:val="0"/>
                  <w:marBottom w:val="0"/>
                  <w:divBdr>
                    <w:top w:val="none" w:sz="0" w:space="0" w:color="auto"/>
                    <w:left w:val="none" w:sz="0" w:space="0" w:color="auto"/>
                    <w:bottom w:val="none" w:sz="0" w:space="0" w:color="auto"/>
                    <w:right w:val="none" w:sz="0" w:space="0" w:color="auto"/>
                  </w:divBdr>
                </w:div>
                <w:div w:id="1518425446">
                  <w:marLeft w:val="0"/>
                  <w:marRight w:val="0"/>
                  <w:marTop w:val="0"/>
                  <w:marBottom w:val="0"/>
                  <w:divBdr>
                    <w:top w:val="none" w:sz="0" w:space="0" w:color="auto"/>
                    <w:left w:val="none" w:sz="0" w:space="0" w:color="auto"/>
                    <w:bottom w:val="none" w:sz="0" w:space="0" w:color="auto"/>
                    <w:right w:val="none" w:sz="0" w:space="0" w:color="auto"/>
                  </w:divBdr>
                </w:div>
                <w:div w:id="1169364434">
                  <w:marLeft w:val="0"/>
                  <w:marRight w:val="0"/>
                  <w:marTop w:val="0"/>
                  <w:marBottom w:val="0"/>
                  <w:divBdr>
                    <w:top w:val="none" w:sz="0" w:space="0" w:color="auto"/>
                    <w:left w:val="none" w:sz="0" w:space="0" w:color="auto"/>
                    <w:bottom w:val="none" w:sz="0" w:space="0" w:color="auto"/>
                    <w:right w:val="none" w:sz="0" w:space="0" w:color="auto"/>
                  </w:divBdr>
                </w:div>
                <w:div w:id="870612310">
                  <w:marLeft w:val="0"/>
                  <w:marRight w:val="0"/>
                  <w:marTop w:val="0"/>
                  <w:marBottom w:val="0"/>
                  <w:divBdr>
                    <w:top w:val="none" w:sz="0" w:space="0" w:color="auto"/>
                    <w:left w:val="none" w:sz="0" w:space="0" w:color="auto"/>
                    <w:bottom w:val="none" w:sz="0" w:space="0" w:color="auto"/>
                    <w:right w:val="none" w:sz="0" w:space="0" w:color="auto"/>
                  </w:divBdr>
                </w:div>
                <w:div w:id="2004620005">
                  <w:marLeft w:val="0"/>
                  <w:marRight w:val="0"/>
                  <w:marTop w:val="0"/>
                  <w:marBottom w:val="0"/>
                  <w:divBdr>
                    <w:top w:val="none" w:sz="0" w:space="0" w:color="auto"/>
                    <w:left w:val="none" w:sz="0" w:space="0" w:color="auto"/>
                    <w:bottom w:val="none" w:sz="0" w:space="0" w:color="auto"/>
                    <w:right w:val="none" w:sz="0" w:space="0" w:color="auto"/>
                  </w:divBdr>
                </w:div>
                <w:div w:id="1869250493">
                  <w:marLeft w:val="0"/>
                  <w:marRight w:val="0"/>
                  <w:marTop w:val="0"/>
                  <w:marBottom w:val="0"/>
                  <w:divBdr>
                    <w:top w:val="none" w:sz="0" w:space="0" w:color="auto"/>
                    <w:left w:val="none" w:sz="0" w:space="0" w:color="auto"/>
                    <w:bottom w:val="none" w:sz="0" w:space="0" w:color="auto"/>
                    <w:right w:val="none" w:sz="0" w:space="0" w:color="auto"/>
                  </w:divBdr>
                </w:div>
                <w:div w:id="782305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AF7C4C-43F9-4DD1-AE7C-C0764F1E65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1735</Words>
  <Characters>9892</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11604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 Hansen</dc:creator>
  <cp:lastModifiedBy>Burningham</cp:lastModifiedBy>
  <cp:revision>2</cp:revision>
  <cp:lastPrinted>2009-09-03T00:13:00Z</cp:lastPrinted>
  <dcterms:created xsi:type="dcterms:W3CDTF">2024-11-14T15:09:00Z</dcterms:created>
  <dcterms:modified xsi:type="dcterms:W3CDTF">2024-11-14T15:09:00Z</dcterms:modified>
</cp:coreProperties>
</file>