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471B5B" w14:textId="77777777" w:rsidR="0076113F" w:rsidRPr="003815BE" w:rsidRDefault="0076113F" w:rsidP="0076113F">
      <w:pPr>
        <w:widowControl/>
        <w:suppressAutoHyphens/>
        <w:rPr>
          <w:bCs/>
          <w:sz w:val="18"/>
          <w:szCs w:val="18"/>
        </w:rPr>
      </w:pPr>
      <w:r w:rsidRPr="003815BE">
        <w:rPr>
          <w:b/>
          <w:bCs/>
          <w:sz w:val="18"/>
          <w:szCs w:val="18"/>
        </w:rPr>
        <w:t>R356.  Governor, Criminal and Juvenile Justice (State Commission on).</w:t>
      </w:r>
    </w:p>
    <w:p w14:paraId="10F14801" w14:textId="77777777" w:rsidR="0076113F" w:rsidRPr="003815BE" w:rsidRDefault="0076113F" w:rsidP="0076113F">
      <w:pPr>
        <w:widowControl/>
        <w:suppressAutoHyphens/>
        <w:rPr>
          <w:bCs/>
          <w:iCs/>
          <w:sz w:val="18"/>
        </w:rPr>
      </w:pPr>
      <w:r w:rsidRPr="003815BE">
        <w:rPr>
          <w:b/>
          <w:bCs/>
          <w:iCs/>
          <w:sz w:val="18"/>
        </w:rPr>
        <w:t>R356-11.  Sentencing Commission.</w:t>
      </w:r>
    </w:p>
    <w:p w14:paraId="13640EF4" w14:textId="77777777" w:rsidR="0076113F" w:rsidRPr="003815BE" w:rsidRDefault="0076113F" w:rsidP="0076113F">
      <w:pPr>
        <w:widowControl/>
        <w:suppressAutoHyphens/>
        <w:rPr>
          <w:bCs/>
          <w:iCs/>
          <w:sz w:val="18"/>
        </w:rPr>
      </w:pPr>
      <w:r w:rsidRPr="003815BE">
        <w:rPr>
          <w:b/>
          <w:bCs/>
          <w:iCs/>
          <w:sz w:val="18"/>
        </w:rPr>
        <w:t>R356-11-1.  Authority.</w:t>
      </w:r>
    </w:p>
    <w:p w14:paraId="009E7026" w14:textId="77777777" w:rsidR="0076113F" w:rsidRPr="003815BE" w:rsidRDefault="0076113F" w:rsidP="0076113F">
      <w:pPr>
        <w:widowControl/>
        <w:suppressAutoHyphens/>
        <w:rPr>
          <w:iCs/>
          <w:sz w:val="18"/>
        </w:rPr>
      </w:pPr>
      <w:r w:rsidRPr="003815BE">
        <w:rPr>
          <w:iCs/>
          <w:sz w:val="18"/>
        </w:rPr>
        <w:tab/>
        <w:t>This rule is authorized by Subsection 63M-7-401.2(2)(a).</w:t>
      </w:r>
    </w:p>
    <w:p w14:paraId="59411C8C" w14:textId="77777777" w:rsidR="0076113F" w:rsidRPr="003815BE" w:rsidRDefault="0076113F" w:rsidP="0076113F">
      <w:pPr>
        <w:widowControl/>
        <w:suppressAutoHyphens/>
        <w:rPr>
          <w:iCs/>
          <w:sz w:val="18"/>
        </w:rPr>
      </w:pPr>
    </w:p>
    <w:p w14:paraId="31F11049" w14:textId="77777777" w:rsidR="0076113F" w:rsidRPr="003815BE" w:rsidRDefault="0076113F" w:rsidP="0076113F">
      <w:pPr>
        <w:widowControl/>
        <w:suppressAutoHyphens/>
        <w:rPr>
          <w:bCs/>
          <w:iCs/>
          <w:sz w:val="18"/>
        </w:rPr>
      </w:pPr>
      <w:r w:rsidRPr="003815BE">
        <w:rPr>
          <w:b/>
          <w:bCs/>
          <w:iCs/>
          <w:sz w:val="18"/>
        </w:rPr>
        <w:t>R356-11-2.  Purpose.</w:t>
      </w:r>
    </w:p>
    <w:p w14:paraId="080A9544" w14:textId="77777777" w:rsidR="0076113F" w:rsidRPr="003815BE" w:rsidRDefault="0076113F" w:rsidP="0076113F">
      <w:pPr>
        <w:widowControl/>
        <w:suppressAutoHyphens/>
        <w:rPr>
          <w:bCs/>
          <w:iCs/>
          <w:sz w:val="18"/>
        </w:rPr>
      </w:pPr>
      <w:r w:rsidRPr="003815BE">
        <w:rPr>
          <w:iCs/>
          <w:sz w:val="18"/>
        </w:rPr>
        <w:tab/>
        <w:t>The purpose of this rule is to describe the process by which the sentencing commission shall establish and maintain the:</w:t>
      </w:r>
    </w:p>
    <w:p w14:paraId="190D15E4" w14:textId="77777777" w:rsidR="0076113F" w:rsidRPr="003815BE" w:rsidRDefault="0076113F" w:rsidP="0076113F">
      <w:pPr>
        <w:widowControl/>
        <w:suppressAutoHyphens/>
        <w:rPr>
          <w:bCs/>
          <w:iCs/>
          <w:sz w:val="18"/>
        </w:rPr>
      </w:pPr>
      <w:r w:rsidRPr="003815BE">
        <w:rPr>
          <w:bCs/>
          <w:iCs/>
          <w:sz w:val="18"/>
        </w:rPr>
        <w:tab/>
        <w:t>(</w:t>
      </w:r>
      <w:r w:rsidRPr="003815BE">
        <w:rPr>
          <w:iCs/>
          <w:sz w:val="18"/>
        </w:rPr>
        <w:t>1)  guidelines;</w:t>
      </w:r>
    </w:p>
    <w:p w14:paraId="260D8A8C" w14:textId="77777777" w:rsidR="0076113F" w:rsidRPr="003815BE" w:rsidRDefault="0076113F" w:rsidP="0076113F">
      <w:pPr>
        <w:widowControl/>
        <w:suppressAutoHyphens/>
        <w:rPr>
          <w:bCs/>
          <w:iCs/>
          <w:sz w:val="18"/>
        </w:rPr>
      </w:pPr>
      <w:r w:rsidRPr="003815BE">
        <w:rPr>
          <w:bCs/>
          <w:iCs/>
          <w:sz w:val="18"/>
        </w:rPr>
        <w:tab/>
        <w:t>(</w:t>
      </w:r>
      <w:r w:rsidRPr="003815BE">
        <w:rPr>
          <w:iCs/>
          <w:sz w:val="18"/>
        </w:rPr>
        <w:t>2)  master offense list; and</w:t>
      </w:r>
    </w:p>
    <w:p w14:paraId="7088D19B" w14:textId="77777777" w:rsidR="0076113F" w:rsidRPr="003815BE" w:rsidRDefault="0076113F" w:rsidP="0076113F">
      <w:pPr>
        <w:widowControl/>
        <w:suppressAutoHyphens/>
        <w:rPr>
          <w:iCs/>
          <w:sz w:val="18"/>
        </w:rPr>
      </w:pPr>
      <w:r w:rsidRPr="003815BE">
        <w:rPr>
          <w:bCs/>
          <w:iCs/>
          <w:sz w:val="18"/>
        </w:rPr>
        <w:tab/>
        <w:t>(</w:t>
      </w:r>
      <w:r w:rsidRPr="003815BE">
        <w:rPr>
          <w:iCs/>
          <w:sz w:val="18"/>
        </w:rPr>
        <w:t>3)  collateral consequences guide.</w:t>
      </w:r>
    </w:p>
    <w:p w14:paraId="4BDE22B7" w14:textId="77777777" w:rsidR="0076113F" w:rsidRPr="003815BE" w:rsidRDefault="0076113F" w:rsidP="0076113F">
      <w:pPr>
        <w:widowControl/>
        <w:suppressAutoHyphens/>
        <w:rPr>
          <w:iCs/>
          <w:sz w:val="18"/>
        </w:rPr>
      </w:pPr>
    </w:p>
    <w:p w14:paraId="23E6A69E" w14:textId="77777777" w:rsidR="0076113F" w:rsidRPr="003815BE" w:rsidRDefault="0076113F" w:rsidP="0076113F">
      <w:pPr>
        <w:widowControl/>
        <w:suppressAutoHyphens/>
        <w:rPr>
          <w:bCs/>
          <w:iCs/>
          <w:sz w:val="18"/>
        </w:rPr>
      </w:pPr>
      <w:r w:rsidRPr="003815BE">
        <w:rPr>
          <w:b/>
          <w:bCs/>
          <w:iCs/>
          <w:sz w:val="18"/>
        </w:rPr>
        <w:t>R356-11-3.  Definitions.</w:t>
      </w:r>
    </w:p>
    <w:p w14:paraId="6292B099" w14:textId="77777777" w:rsidR="0076113F" w:rsidRPr="003815BE" w:rsidRDefault="0076113F" w:rsidP="0076113F">
      <w:pPr>
        <w:widowControl/>
        <w:suppressAutoHyphens/>
        <w:rPr>
          <w:bCs/>
          <w:iCs/>
          <w:sz w:val="18"/>
        </w:rPr>
      </w:pPr>
      <w:r w:rsidRPr="003815BE">
        <w:rPr>
          <w:bCs/>
          <w:iCs/>
          <w:sz w:val="18"/>
        </w:rPr>
        <w:tab/>
        <w:t>(</w:t>
      </w:r>
      <w:r w:rsidRPr="003815BE">
        <w:rPr>
          <w:iCs/>
          <w:sz w:val="18"/>
        </w:rPr>
        <w:t>1)  Terms used in this rule are defined in Sections 63M-7-101.5 and 63M-7-401.1.</w:t>
      </w:r>
    </w:p>
    <w:p w14:paraId="308DB613" w14:textId="77777777" w:rsidR="0076113F" w:rsidRPr="003815BE" w:rsidRDefault="0076113F" w:rsidP="0076113F">
      <w:pPr>
        <w:widowControl/>
        <w:suppressAutoHyphens/>
        <w:rPr>
          <w:bCs/>
          <w:iCs/>
          <w:sz w:val="18"/>
        </w:rPr>
      </w:pPr>
      <w:r w:rsidRPr="003815BE">
        <w:rPr>
          <w:bCs/>
          <w:iCs/>
          <w:sz w:val="18"/>
        </w:rPr>
        <w:tab/>
        <w:t>(</w:t>
      </w:r>
      <w:r w:rsidRPr="003815BE">
        <w:rPr>
          <w:iCs/>
          <w:sz w:val="18"/>
        </w:rPr>
        <w:t>2)  In addition:</w:t>
      </w:r>
    </w:p>
    <w:p w14:paraId="478EBE3C" w14:textId="77777777" w:rsidR="0076113F" w:rsidRPr="003815BE" w:rsidRDefault="0076113F" w:rsidP="0076113F">
      <w:pPr>
        <w:widowControl/>
        <w:suppressAutoHyphens/>
        <w:rPr>
          <w:bCs/>
          <w:iCs/>
          <w:sz w:val="18"/>
        </w:rPr>
      </w:pPr>
      <w:r w:rsidRPr="003815BE">
        <w:rPr>
          <w:bCs/>
          <w:iCs/>
          <w:sz w:val="18"/>
        </w:rPr>
        <w:tab/>
        <w:t>(</w:t>
      </w:r>
      <w:r w:rsidRPr="003815BE">
        <w:rPr>
          <w:iCs/>
          <w:sz w:val="18"/>
        </w:rPr>
        <w:t>a)  "collateral consequences guide" means the list of collateral consequences described in Subsection 63M-7-405(2);</w:t>
      </w:r>
    </w:p>
    <w:p w14:paraId="4A24DAA3" w14:textId="77777777" w:rsidR="0076113F" w:rsidRPr="003815BE" w:rsidRDefault="0076113F" w:rsidP="0076113F">
      <w:pPr>
        <w:widowControl/>
        <w:suppressAutoHyphens/>
        <w:rPr>
          <w:bCs/>
          <w:iCs/>
          <w:sz w:val="18"/>
        </w:rPr>
      </w:pPr>
      <w:r w:rsidRPr="003815BE">
        <w:rPr>
          <w:bCs/>
          <w:iCs/>
          <w:sz w:val="18"/>
        </w:rPr>
        <w:tab/>
        <w:t>(</w:t>
      </w:r>
      <w:r w:rsidRPr="003815BE">
        <w:rPr>
          <w:iCs/>
          <w:sz w:val="18"/>
        </w:rPr>
        <w:t>b)  "director" means the director of the sentencing commission created in Subsection 63M-7-401.2(5); and</w:t>
      </w:r>
    </w:p>
    <w:p w14:paraId="02E48D10" w14:textId="77777777" w:rsidR="0076113F" w:rsidRPr="003815BE" w:rsidRDefault="0076113F" w:rsidP="0076113F">
      <w:pPr>
        <w:widowControl/>
        <w:suppressAutoHyphens/>
        <w:rPr>
          <w:iCs/>
          <w:sz w:val="18"/>
        </w:rPr>
      </w:pPr>
      <w:r w:rsidRPr="003815BE">
        <w:rPr>
          <w:bCs/>
          <w:iCs/>
          <w:sz w:val="18"/>
        </w:rPr>
        <w:tab/>
        <w:t>(</w:t>
      </w:r>
      <w:r w:rsidRPr="003815BE">
        <w:rPr>
          <w:iCs/>
          <w:sz w:val="18"/>
        </w:rPr>
        <w:t>c)  "guidelines" means the adult sentencing and supervision length guidelines described in Section 63M-7-404.3 and the juvenile disposition guidelines described in Section 63M-7-404.5.</w:t>
      </w:r>
    </w:p>
    <w:p w14:paraId="15045D3B" w14:textId="77777777" w:rsidR="0076113F" w:rsidRPr="003815BE" w:rsidRDefault="0076113F" w:rsidP="0076113F">
      <w:pPr>
        <w:widowControl/>
        <w:suppressAutoHyphens/>
        <w:rPr>
          <w:iCs/>
          <w:sz w:val="18"/>
        </w:rPr>
      </w:pPr>
    </w:p>
    <w:p w14:paraId="63795FAC" w14:textId="77777777" w:rsidR="0076113F" w:rsidRPr="003815BE" w:rsidRDefault="0076113F" w:rsidP="0076113F">
      <w:pPr>
        <w:widowControl/>
        <w:suppressAutoHyphens/>
        <w:rPr>
          <w:bCs/>
          <w:iCs/>
          <w:sz w:val="18"/>
        </w:rPr>
      </w:pPr>
      <w:r w:rsidRPr="003815BE">
        <w:rPr>
          <w:b/>
          <w:bCs/>
          <w:iCs/>
          <w:sz w:val="18"/>
        </w:rPr>
        <w:t>R356-11-4.  Subcommittees.</w:t>
      </w:r>
    </w:p>
    <w:p w14:paraId="42584604" w14:textId="77777777" w:rsidR="0076113F" w:rsidRPr="003815BE" w:rsidRDefault="0076113F" w:rsidP="0076113F">
      <w:pPr>
        <w:widowControl/>
        <w:suppressAutoHyphens/>
        <w:rPr>
          <w:bCs/>
          <w:iCs/>
          <w:sz w:val="18"/>
        </w:rPr>
      </w:pPr>
      <w:r w:rsidRPr="003815BE">
        <w:rPr>
          <w:bCs/>
          <w:iCs/>
          <w:sz w:val="18"/>
        </w:rPr>
        <w:tab/>
        <w:t>(</w:t>
      </w:r>
      <w:r w:rsidRPr="003815BE">
        <w:rPr>
          <w:iCs/>
          <w:sz w:val="18"/>
        </w:rPr>
        <w:t>1)  The sentencing commission may create subcommittees to assist the sentencing commission in carrying out any of the sentencing commission's duties outlined in Title 63M, Chapter 7, Part 4 Sentencing Commission.</w:t>
      </w:r>
    </w:p>
    <w:p w14:paraId="4F82DCF2" w14:textId="77777777" w:rsidR="0076113F" w:rsidRPr="003815BE" w:rsidRDefault="0076113F" w:rsidP="0076113F">
      <w:pPr>
        <w:widowControl/>
        <w:suppressAutoHyphens/>
        <w:rPr>
          <w:bCs/>
          <w:iCs/>
          <w:sz w:val="18"/>
        </w:rPr>
      </w:pPr>
      <w:r w:rsidRPr="003815BE">
        <w:rPr>
          <w:bCs/>
          <w:iCs/>
          <w:sz w:val="18"/>
        </w:rPr>
        <w:tab/>
        <w:t>(</w:t>
      </w:r>
      <w:r w:rsidRPr="003815BE">
        <w:rPr>
          <w:iCs/>
          <w:sz w:val="18"/>
        </w:rPr>
        <w:t>2)  Subcommittees created under this rule may include sentencing commission members and members of the public as determined by the sentencing commission.</w:t>
      </w:r>
    </w:p>
    <w:p w14:paraId="6A63136B" w14:textId="77777777" w:rsidR="0076113F" w:rsidRPr="003815BE" w:rsidRDefault="0076113F" w:rsidP="0076113F">
      <w:pPr>
        <w:widowControl/>
        <w:suppressAutoHyphens/>
        <w:rPr>
          <w:iCs/>
          <w:sz w:val="18"/>
        </w:rPr>
      </w:pPr>
      <w:r w:rsidRPr="003815BE">
        <w:rPr>
          <w:bCs/>
          <w:iCs/>
          <w:sz w:val="18"/>
        </w:rPr>
        <w:tab/>
        <w:t>(</w:t>
      </w:r>
      <w:r w:rsidRPr="003815BE">
        <w:rPr>
          <w:iCs/>
          <w:sz w:val="18"/>
        </w:rPr>
        <w:t>3)  Any discussions or recommendations of a subcommittee shall be presented to the full sentencing commission for the sentencing commission's review and final action.</w:t>
      </w:r>
    </w:p>
    <w:p w14:paraId="75ECD219" w14:textId="77777777" w:rsidR="0076113F" w:rsidRPr="003815BE" w:rsidRDefault="0076113F" w:rsidP="0076113F">
      <w:pPr>
        <w:widowControl/>
        <w:suppressAutoHyphens/>
        <w:rPr>
          <w:iCs/>
          <w:sz w:val="18"/>
        </w:rPr>
      </w:pPr>
    </w:p>
    <w:p w14:paraId="19450E4F" w14:textId="77777777" w:rsidR="0076113F" w:rsidRPr="003815BE" w:rsidRDefault="0076113F" w:rsidP="0076113F">
      <w:pPr>
        <w:widowControl/>
        <w:suppressAutoHyphens/>
        <w:rPr>
          <w:bCs/>
          <w:iCs/>
          <w:sz w:val="18"/>
        </w:rPr>
      </w:pPr>
      <w:r w:rsidRPr="003815BE">
        <w:rPr>
          <w:b/>
          <w:bCs/>
          <w:iCs/>
          <w:sz w:val="18"/>
        </w:rPr>
        <w:t>R356-11-5.  Guidelines.</w:t>
      </w:r>
    </w:p>
    <w:p w14:paraId="09429EAE" w14:textId="77777777" w:rsidR="0076113F" w:rsidRPr="003815BE" w:rsidRDefault="0076113F" w:rsidP="0076113F">
      <w:pPr>
        <w:widowControl/>
        <w:suppressAutoHyphens/>
        <w:rPr>
          <w:bCs/>
          <w:iCs/>
          <w:sz w:val="18"/>
        </w:rPr>
      </w:pPr>
      <w:r w:rsidRPr="003815BE">
        <w:rPr>
          <w:bCs/>
          <w:iCs/>
          <w:sz w:val="18"/>
        </w:rPr>
        <w:tab/>
        <w:t>(</w:t>
      </w:r>
      <w:r w:rsidRPr="003815BE">
        <w:rPr>
          <w:iCs/>
          <w:sz w:val="18"/>
        </w:rPr>
        <w:t>1)  The sentencing commission may receive comments or recommendations regarding changes to the guidelines and legislation regarding the sentencing, release, or supervision of individuals convicted of crimes submitted by:</w:t>
      </w:r>
    </w:p>
    <w:p w14:paraId="5BCE329B" w14:textId="77777777" w:rsidR="0076113F" w:rsidRPr="003815BE" w:rsidRDefault="0076113F" w:rsidP="0076113F">
      <w:pPr>
        <w:widowControl/>
        <w:suppressAutoHyphens/>
        <w:rPr>
          <w:bCs/>
          <w:iCs/>
          <w:sz w:val="18"/>
        </w:rPr>
      </w:pPr>
      <w:r w:rsidRPr="003815BE">
        <w:rPr>
          <w:bCs/>
          <w:iCs/>
          <w:sz w:val="18"/>
        </w:rPr>
        <w:tab/>
        <w:t>(</w:t>
      </w:r>
      <w:r w:rsidRPr="003815BE">
        <w:rPr>
          <w:iCs/>
          <w:sz w:val="18"/>
        </w:rPr>
        <w:t>a)  members of the sentencing commission;</w:t>
      </w:r>
    </w:p>
    <w:p w14:paraId="10784365" w14:textId="77777777" w:rsidR="0076113F" w:rsidRPr="003815BE" w:rsidRDefault="0076113F" w:rsidP="0076113F">
      <w:pPr>
        <w:widowControl/>
        <w:suppressAutoHyphens/>
        <w:rPr>
          <w:bCs/>
          <w:iCs/>
          <w:sz w:val="18"/>
        </w:rPr>
      </w:pPr>
      <w:r w:rsidRPr="003815BE">
        <w:rPr>
          <w:bCs/>
          <w:iCs/>
          <w:sz w:val="18"/>
        </w:rPr>
        <w:tab/>
        <w:t>(</w:t>
      </w:r>
      <w:r w:rsidRPr="003815BE">
        <w:rPr>
          <w:iCs/>
          <w:sz w:val="18"/>
        </w:rPr>
        <w:t>b)  subcommittees created by the sentencing commission; or</w:t>
      </w:r>
    </w:p>
    <w:p w14:paraId="70BE406C" w14:textId="77777777" w:rsidR="0076113F" w:rsidRPr="003815BE" w:rsidRDefault="0076113F" w:rsidP="0076113F">
      <w:pPr>
        <w:widowControl/>
        <w:suppressAutoHyphens/>
        <w:rPr>
          <w:bCs/>
          <w:iCs/>
          <w:sz w:val="18"/>
        </w:rPr>
      </w:pPr>
      <w:r w:rsidRPr="003815BE">
        <w:rPr>
          <w:bCs/>
          <w:iCs/>
          <w:sz w:val="18"/>
        </w:rPr>
        <w:tab/>
        <w:t>(</w:t>
      </w:r>
      <w:r w:rsidRPr="003815BE">
        <w:rPr>
          <w:iCs/>
          <w:sz w:val="18"/>
        </w:rPr>
        <w:t>c)  members of the public.</w:t>
      </w:r>
    </w:p>
    <w:p w14:paraId="4DBA5B0E" w14:textId="77777777" w:rsidR="0076113F" w:rsidRPr="003815BE" w:rsidRDefault="0076113F" w:rsidP="0076113F">
      <w:pPr>
        <w:widowControl/>
        <w:suppressAutoHyphens/>
        <w:rPr>
          <w:bCs/>
          <w:iCs/>
          <w:sz w:val="18"/>
        </w:rPr>
      </w:pPr>
      <w:r w:rsidRPr="003815BE">
        <w:rPr>
          <w:bCs/>
          <w:iCs/>
          <w:sz w:val="18"/>
        </w:rPr>
        <w:tab/>
        <w:t>(</w:t>
      </w:r>
      <w:r w:rsidRPr="003815BE">
        <w:rPr>
          <w:iCs/>
          <w:sz w:val="18"/>
        </w:rPr>
        <w:t>2)  The sentencing commission shall:</w:t>
      </w:r>
    </w:p>
    <w:p w14:paraId="0144109D" w14:textId="77777777" w:rsidR="0076113F" w:rsidRPr="003815BE" w:rsidRDefault="0076113F" w:rsidP="0076113F">
      <w:pPr>
        <w:widowControl/>
        <w:suppressAutoHyphens/>
        <w:rPr>
          <w:bCs/>
          <w:iCs/>
          <w:sz w:val="18"/>
        </w:rPr>
      </w:pPr>
      <w:r w:rsidRPr="003815BE">
        <w:rPr>
          <w:bCs/>
          <w:iCs/>
          <w:sz w:val="18"/>
        </w:rPr>
        <w:tab/>
        <w:t>(</w:t>
      </w:r>
      <w:r w:rsidRPr="003815BE">
        <w:rPr>
          <w:iCs/>
          <w:sz w:val="18"/>
        </w:rPr>
        <w:t>a)  review any proposed changes to the guidelines;</w:t>
      </w:r>
    </w:p>
    <w:p w14:paraId="2B3E196C" w14:textId="77777777" w:rsidR="0076113F" w:rsidRPr="003815BE" w:rsidRDefault="0076113F" w:rsidP="0076113F">
      <w:pPr>
        <w:widowControl/>
        <w:suppressAutoHyphens/>
        <w:rPr>
          <w:bCs/>
          <w:iCs/>
          <w:sz w:val="18"/>
        </w:rPr>
      </w:pPr>
      <w:r w:rsidRPr="003815BE">
        <w:rPr>
          <w:bCs/>
          <w:iCs/>
          <w:sz w:val="18"/>
        </w:rPr>
        <w:tab/>
        <w:t>(</w:t>
      </w:r>
      <w:r w:rsidRPr="003815BE">
        <w:rPr>
          <w:iCs/>
          <w:sz w:val="18"/>
        </w:rPr>
        <w:t>b)  consider any proposed legislative recommendations;</w:t>
      </w:r>
    </w:p>
    <w:p w14:paraId="08621B88" w14:textId="77777777" w:rsidR="0076113F" w:rsidRPr="003815BE" w:rsidRDefault="0076113F" w:rsidP="0076113F">
      <w:pPr>
        <w:widowControl/>
        <w:suppressAutoHyphens/>
        <w:rPr>
          <w:bCs/>
          <w:iCs/>
          <w:sz w:val="18"/>
        </w:rPr>
      </w:pPr>
      <w:r w:rsidRPr="003815BE">
        <w:rPr>
          <w:bCs/>
          <w:iCs/>
          <w:sz w:val="18"/>
        </w:rPr>
        <w:tab/>
        <w:t>(</w:t>
      </w:r>
      <w:r w:rsidRPr="003815BE">
        <w:rPr>
          <w:iCs/>
          <w:sz w:val="18"/>
        </w:rPr>
        <w:t>c)  approve any proposed changes to the guidelines or legislative recommendations; and</w:t>
      </w:r>
    </w:p>
    <w:p w14:paraId="36C6E079" w14:textId="77777777" w:rsidR="0076113F" w:rsidRPr="003815BE" w:rsidRDefault="0076113F" w:rsidP="0076113F">
      <w:pPr>
        <w:widowControl/>
        <w:suppressAutoHyphens/>
        <w:rPr>
          <w:bCs/>
          <w:iCs/>
          <w:sz w:val="18"/>
        </w:rPr>
      </w:pPr>
      <w:r w:rsidRPr="003815BE">
        <w:rPr>
          <w:bCs/>
          <w:iCs/>
          <w:sz w:val="18"/>
        </w:rPr>
        <w:tab/>
        <w:t>(</w:t>
      </w:r>
      <w:r w:rsidRPr="003815BE">
        <w:rPr>
          <w:iCs/>
          <w:sz w:val="18"/>
        </w:rPr>
        <w:t>d)  forward any proposed changes to the guidelines or legislative recommendations to the commission with sufficient time for the commission to:</w:t>
      </w:r>
    </w:p>
    <w:p w14:paraId="069E5CA9" w14:textId="77777777" w:rsidR="0076113F" w:rsidRPr="003815BE" w:rsidRDefault="0076113F" w:rsidP="0076113F">
      <w:pPr>
        <w:widowControl/>
        <w:suppressAutoHyphens/>
        <w:rPr>
          <w:bCs/>
          <w:iCs/>
          <w:sz w:val="18"/>
        </w:rPr>
      </w:pPr>
      <w:r w:rsidRPr="003815BE">
        <w:rPr>
          <w:bCs/>
          <w:iCs/>
          <w:sz w:val="18"/>
        </w:rPr>
        <w:tab/>
        <w:t>(</w:t>
      </w:r>
      <w:r w:rsidRPr="003815BE">
        <w:rPr>
          <w:iCs/>
          <w:sz w:val="18"/>
        </w:rPr>
        <w:t>i)  review any proposed changes to the guidelines or legislative recommendations; and</w:t>
      </w:r>
    </w:p>
    <w:p w14:paraId="04558156" w14:textId="77777777" w:rsidR="0076113F" w:rsidRPr="003815BE" w:rsidRDefault="0076113F" w:rsidP="0076113F">
      <w:pPr>
        <w:widowControl/>
        <w:suppressAutoHyphens/>
        <w:rPr>
          <w:bCs/>
          <w:iCs/>
          <w:sz w:val="18"/>
        </w:rPr>
      </w:pPr>
      <w:r w:rsidRPr="003815BE">
        <w:rPr>
          <w:bCs/>
          <w:iCs/>
          <w:sz w:val="18"/>
        </w:rPr>
        <w:tab/>
        <w:t>(</w:t>
      </w:r>
      <w:r w:rsidRPr="003815BE">
        <w:rPr>
          <w:iCs/>
          <w:sz w:val="18"/>
        </w:rPr>
        <w:t>ii)  submit any proposed changes to the guidelines or legislative recommendations to the Law Enforcement and Criminal Justice Interim Committee and the Judiciary Interim Committee before October 31 as required by Subsection 63M-7-406(1).</w:t>
      </w:r>
    </w:p>
    <w:p w14:paraId="5F4F6DB9" w14:textId="77777777" w:rsidR="0076113F" w:rsidRPr="003815BE" w:rsidRDefault="0076113F" w:rsidP="0076113F">
      <w:pPr>
        <w:widowControl/>
        <w:suppressAutoHyphens/>
        <w:rPr>
          <w:bCs/>
          <w:iCs/>
          <w:sz w:val="18"/>
        </w:rPr>
      </w:pPr>
      <w:r w:rsidRPr="003815BE">
        <w:rPr>
          <w:bCs/>
          <w:iCs/>
          <w:sz w:val="18"/>
        </w:rPr>
        <w:tab/>
        <w:t>(</w:t>
      </w:r>
      <w:r w:rsidRPr="003815BE">
        <w:rPr>
          <w:iCs/>
          <w:sz w:val="18"/>
        </w:rPr>
        <w:t>3)(a)  Any proposed changes to the guidelines approved by the sentencing commission shall be posted on the sentencing commission's website.</w:t>
      </w:r>
    </w:p>
    <w:p w14:paraId="053135DE" w14:textId="77777777" w:rsidR="0076113F" w:rsidRPr="003815BE" w:rsidRDefault="0076113F" w:rsidP="0076113F">
      <w:pPr>
        <w:widowControl/>
        <w:suppressAutoHyphens/>
        <w:rPr>
          <w:bCs/>
          <w:iCs/>
          <w:sz w:val="18"/>
        </w:rPr>
      </w:pPr>
      <w:r w:rsidRPr="003815BE">
        <w:rPr>
          <w:bCs/>
          <w:iCs/>
          <w:sz w:val="18"/>
        </w:rPr>
        <w:tab/>
        <w:t>(</w:t>
      </w:r>
      <w:r w:rsidRPr="003815BE">
        <w:rPr>
          <w:iCs/>
          <w:sz w:val="18"/>
        </w:rPr>
        <w:t>b)  The sentencing commission shall accept comments from the public for a period of 30 days after any proposed changes to the guidelines are posted on the sentencing commission's website.</w:t>
      </w:r>
    </w:p>
    <w:p w14:paraId="4BEC2917" w14:textId="77777777" w:rsidR="0076113F" w:rsidRPr="003815BE" w:rsidRDefault="0076113F" w:rsidP="0076113F">
      <w:pPr>
        <w:widowControl/>
        <w:suppressAutoHyphens/>
        <w:rPr>
          <w:iCs/>
          <w:sz w:val="18"/>
        </w:rPr>
      </w:pPr>
      <w:r w:rsidRPr="003815BE">
        <w:rPr>
          <w:bCs/>
          <w:iCs/>
          <w:sz w:val="18"/>
        </w:rPr>
        <w:tab/>
        <w:t>(</w:t>
      </w:r>
      <w:r w:rsidRPr="003815BE">
        <w:rPr>
          <w:iCs/>
          <w:sz w:val="18"/>
        </w:rPr>
        <w:t>c)  Any comments received from the public regarding any proposed changes to the guidelines shall be compiled by the director for further consideration.</w:t>
      </w:r>
    </w:p>
    <w:p w14:paraId="3DF12DF9" w14:textId="77777777" w:rsidR="0076113F" w:rsidRPr="003815BE" w:rsidRDefault="0076113F" w:rsidP="0076113F">
      <w:pPr>
        <w:widowControl/>
        <w:suppressAutoHyphens/>
        <w:rPr>
          <w:iCs/>
          <w:sz w:val="18"/>
        </w:rPr>
      </w:pPr>
    </w:p>
    <w:p w14:paraId="687D8265" w14:textId="77777777" w:rsidR="0076113F" w:rsidRPr="003815BE" w:rsidRDefault="0076113F" w:rsidP="0076113F">
      <w:pPr>
        <w:widowControl/>
        <w:suppressAutoHyphens/>
        <w:rPr>
          <w:bCs/>
          <w:iCs/>
          <w:sz w:val="18"/>
        </w:rPr>
      </w:pPr>
      <w:r w:rsidRPr="003815BE">
        <w:rPr>
          <w:b/>
          <w:bCs/>
          <w:iCs/>
          <w:sz w:val="18"/>
        </w:rPr>
        <w:t>R356-11-6.  Master Offense List.</w:t>
      </w:r>
    </w:p>
    <w:p w14:paraId="32004DD6" w14:textId="77777777" w:rsidR="0076113F" w:rsidRPr="003815BE" w:rsidRDefault="0076113F" w:rsidP="0076113F">
      <w:pPr>
        <w:widowControl/>
        <w:suppressAutoHyphens/>
        <w:rPr>
          <w:bCs/>
          <w:iCs/>
          <w:sz w:val="18"/>
        </w:rPr>
      </w:pPr>
      <w:r w:rsidRPr="003815BE">
        <w:rPr>
          <w:bCs/>
          <w:iCs/>
          <w:sz w:val="18"/>
        </w:rPr>
        <w:tab/>
        <w:t>(</w:t>
      </w:r>
      <w:r w:rsidRPr="003815BE">
        <w:rPr>
          <w:iCs/>
          <w:sz w:val="18"/>
        </w:rPr>
        <w:t>1)  At the conclusion of each legislative session, the director shall:</w:t>
      </w:r>
    </w:p>
    <w:p w14:paraId="50B6C8DB" w14:textId="77777777" w:rsidR="0076113F" w:rsidRPr="003815BE" w:rsidRDefault="0076113F" w:rsidP="0076113F">
      <w:pPr>
        <w:widowControl/>
        <w:suppressAutoHyphens/>
        <w:rPr>
          <w:bCs/>
          <w:iCs/>
          <w:sz w:val="18"/>
        </w:rPr>
      </w:pPr>
      <w:r w:rsidRPr="003815BE">
        <w:rPr>
          <w:bCs/>
          <w:iCs/>
          <w:sz w:val="18"/>
        </w:rPr>
        <w:tab/>
        <w:t>(</w:t>
      </w:r>
      <w:r w:rsidRPr="003815BE">
        <w:rPr>
          <w:iCs/>
          <w:sz w:val="18"/>
        </w:rPr>
        <w:t>a)  update the master offense list; and</w:t>
      </w:r>
    </w:p>
    <w:p w14:paraId="0F4469A8" w14:textId="77777777" w:rsidR="0076113F" w:rsidRPr="003815BE" w:rsidRDefault="0076113F" w:rsidP="0076113F">
      <w:pPr>
        <w:widowControl/>
        <w:suppressAutoHyphens/>
        <w:rPr>
          <w:bCs/>
          <w:iCs/>
          <w:sz w:val="18"/>
        </w:rPr>
      </w:pPr>
      <w:r w:rsidRPr="003815BE">
        <w:rPr>
          <w:bCs/>
          <w:iCs/>
          <w:sz w:val="18"/>
        </w:rPr>
        <w:tab/>
        <w:t>(</w:t>
      </w:r>
      <w:r w:rsidRPr="003815BE">
        <w:rPr>
          <w:iCs/>
          <w:sz w:val="18"/>
        </w:rPr>
        <w:t>b)  present any proposed changes to the master offense list to the sentencing commission.</w:t>
      </w:r>
    </w:p>
    <w:p w14:paraId="4E95FB51" w14:textId="77777777" w:rsidR="0076113F" w:rsidRPr="003815BE" w:rsidRDefault="0076113F" w:rsidP="0076113F">
      <w:pPr>
        <w:widowControl/>
        <w:suppressAutoHyphens/>
        <w:rPr>
          <w:bCs/>
          <w:iCs/>
          <w:sz w:val="18"/>
        </w:rPr>
      </w:pPr>
      <w:r w:rsidRPr="003815BE">
        <w:rPr>
          <w:bCs/>
          <w:iCs/>
          <w:sz w:val="18"/>
        </w:rPr>
        <w:tab/>
        <w:t>(</w:t>
      </w:r>
      <w:r w:rsidRPr="003815BE">
        <w:rPr>
          <w:iCs/>
          <w:sz w:val="18"/>
        </w:rPr>
        <w:t>2)  The sentencing commission shall:</w:t>
      </w:r>
    </w:p>
    <w:p w14:paraId="6AD72F7C" w14:textId="77777777" w:rsidR="0076113F" w:rsidRPr="003815BE" w:rsidRDefault="0076113F" w:rsidP="0076113F">
      <w:pPr>
        <w:widowControl/>
        <w:suppressAutoHyphens/>
        <w:rPr>
          <w:bCs/>
          <w:iCs/>
          <w:sz w:val="18"/>
        </w:rPr>
      </w:pPr>
      <w:r w:rsidRPr="003815BE">
        <w:rPr>
          <w:bCs/>
          <w:iCs/>
          <w:sz w:val="18"/>
        </w:rPr>
        <w:tab/>
        <w:t>(</w:t>
      </w:r>
      <w:r w:rsidRPr="003815BE">
        <w:rPr>
          <w:iCs/>
          <w:sz w:val="18"/>
        </w:rPr>
        <w:t>a)  review any proposed changes to the master offense list;</w:t>
      </w:r>
    </w:p>
    <w:p w14:paraId="5C4598D0" w14:textId="77777777" w:rsidR="0076113F" w:rsidRPr="003815BE" w:rsidRDefault="0076113F" w:rsidP="0076113F">
      <w:pPr>
        <w:widowControl/>
        <w:suppressAutoHyphens/>
        <w:rPr>
          <w:bCs/>
          <w:iCs/>
          <w:sz w:val="18"/>
        </w:rPr>
      </w:pPr>
      <w:r w:rsidRPr="003815BE">
        <w:rPr>
          <w:bCs/>
          <w:iCs/>
          <w:sz w:val="18"/>
        </w:rPr>
        <w:tab/>
        <w:t>(</w:t>
      </w:r>
      <w:r w:rsidRPr="003815BE">
        <w:rPr>
          <w:iCs/>
          <w:sz w:val="18"/>
        </w:rPr>
        <w:t>b)  approve any proposed changes to the master offense list; and</w:t>
      </w:r>
    </w:p>
    <w:p w14:paraId="75044BA3" w14:textId="77777777" w:rsidR="0076113F" w:rsidRPr="003815BE" w:rsidRDefault="0076113F" w:rsidP="0076113F">
      <w:pPr>
        <w:widowControl/>
        <w:suppressAutoHyphens/>
        <w:rPr>
          <w:iCs/>
          <w:sz w:val="18"/>
        </w:rPr>
      </w:pPr>
      <w:r w:rsidRPr="003815BE">
        <w:rPr>
          <w:bCs/>
          <w:iCs/>
          <w:sz w:val="18"/>
        </w:rPr>
        <w:tab/>
        <w:t>(</w:t>
      </w:r>
      <w:r w:rsidRPr="003815BE">
        <w:rPr>
          <w:iCs/>
          <w:sz w:val="18"/>
        </w:rPr>
        <w:t>c)  present any proposed changes to the master offense list to the Law Enforcement and Criminal Justice Interim Committee before June 30th as required by Subsection 63M-7-405(1).</w:t>
      </w:r>
    </w:p>
    <w:p w14:paraId="40D69185" w14:textId="77777777" w:rsidR="0076113F" w:rsidRPr="003815BE" w:rsidRDefault="0076113F" w:rsidP="0076113F">
      <w:pPr>
        <w:widowControl/>
        <w:suppressAutoHyphens/>
        <w:rPr>
          <w:bCs/>
          <w:iCs/>
          <w:sz w:val="18"/>
        </w:rPr>
      </w:pPr>
    </w:p>
    <w:p w14:paraId="029964FA" w14:textId="77777777" w:rsidR="0076113F" w:rsidRPr="003815BE" w:rsidRDefault="0076113F" w:rsidP="0076113F">
      <w:pPr>
        <w:widowControl/>
        <w:suppressAutoHyphens/>
        <w:rPr>
          <w:bCs/>
          <w:iCs/>
          <w:sz w:val="18"/>
        </w:rPr>
      </w:pPr>
      <w:r w:rsidRPr="003815BE">
        <w:rPr>
          <w:b/>
          <w:bCs/>
          <w:iCs/>
          <w:sz w:val="18"/>
        </w:rPr>
        <w:t>R356-11-7.  Collateral Consequences Guide.</w:t>
      </w:r>
    </w:p>
    <w:p w14:paraId="51C36D23" w14:textId="77777777" w:rsidR="0076113F" w:rsidRPr="003815BE" w:rsidRDefault="0076113F" w:rsidP="0076113F">
      <w:pPr>
        <w:widowControl/>
        <w:suppressAutoHyphens/>
        <w:rPr>
          <w:bCs/>
          <w:iCs/>
          <w:sz w:val="18"/>
        </w:rPr>
      </w:pPr>
      <w:r w:rsidRPr="003815BE">
        <w:rPr>
          <w:bCs/>
          <w:iCs/>
          <w:sz w:val="18"/>
        </w:rPr>
        <w:tab/>
        <w:t>(</w:t>
      </w:r>
      <w:r w:rsidRPr="003815BE">
        <w:rPr>
          <w:iCs/>
          <w:sz w:val="18"/>
        </w:rPr>
        <w:t>1)  Each year, the director shall:</w:t>
      </w:r>
    </w:p>
    <w:p w14:paraId="513EB8E6" w14:textId="77777777" w:rsidR="0076113F" w:rsidRPr="003815BE" w:rsidRDefault="0076113F" w:rsidP="0076113F">
      <w:pPr>
        <w:widowControl/>
        <w:suppressAutoHyphens/>
        <w:rPr>
          <w:bCs/>
          <w:iCs/>
          <w:sz w:val="18"/>
        </w:rPr>
      </w:pPr>
      <w:r w:rsidRPr="003815BE">
        <w:rPr>
          <w:bCs/>
          <w:iCs/>
          <w:sz w:val="18"/>
        </w:rPr>
        <w:lastRenderedPageBreak/>
        <w:tab/>
        <w:t>(</w:t>
      </w:r>
      <w:r w:rsidRPr="003815BE">
        <w:rPr>
          <w:iCs/>
          <w:sz w:val="18"/>
        </w:rPr>
        <w:t>a)  review the collateral consequences guide to determine if changes to the collateral consequences guide are warranted; and</w:t>
      </w:r>
    </w:p>
    <w:p w14:paraId="6E483096" w14:textId="77777777" w:rsidR="0076113F" w:rsidRPr="003815BE" w:rsidRDefault="0076113F" w:rsidP="0076113F">
      <w:pPr>
        <w:widowControl/>
        <w:suppressAutoHyphens/>
        <w:rPr>
          <w:bCs/>
          <w:iCs/>
          <w:sz w:val="18"/>
        </w:rPr>
      </w:pPr>
      <w:r w:rsidRPr="003815BE">
        <w:rPr>
          <w:bCs/>
          <w:iCs/>
          <w:sz w:val="18"/>
        </w:rPr>
        <w:tab/>
        <w:t>(</w:t>
      </w:r>
      <w:r w:rsidRPr="003815BE">
        <w:rPr>
          <w:iCs/>
          <w:sz w:val="18"/>
        </w:rPr>
        <w:t>b)  present any proposed changes to the collateral consequences guide to the sentencing commission.</w:t>
      </w:r>
    </w:p>
    <w:p w14:paraId="627CCCF2" w14:textId="77777777" w:rsidR="0076113F" w:rsidRPr="003815BE" w:rsidRDefault="0076113F" w:rsidP="0076113F">
      <w:pPr>
        <w:widowControl/>
        <w:suppressAutoHyphens/>
        <w:rPr>
          <w:bCs/>
          <w:iCs/>
          <w:sz w:val="18"/>
        </w:rPr>
      </w:pPr>
      <w:r w:rsidRPr="003815BE">
        <w:rPr>
          <w:bCs/>
          <w:iCs/>
          <w:sz w:val="18"/>
        </w:rPr>
        <w:tab/>
        <w:t>(</w:t>
      </w:r>
      <w:r w:rsidRPr="003815BE">
        <w:rPr>
          <w:iCs/>
          <w:sz w:val="18"/>
        </w:rPr>
        <w:t>2)  The sentencing commission shall:</w:t>
      </w:r>
    </w:p>
    <w:p w14:paraId="68CF53D3" w14:textId="77777777" w:rsidR="0076113F" w:rsidRPr="003815BE" w:rsidRDefault="0076113F" w:rsidP="0076113F">
      <w:pPr>
        <w:widowControl/>
        <w:suppressAutoHyphens/>
        <w:rPr>
          <w:bCs/>
          <w:iCs/>
          <w:sz w:val="18"/>
        </w:rPr>
      </w:pPr>
      <w:r w:rsidRPr="003815BE">
        <w:rPr>
          <w:bCs/>
          <w:iCs/>
          <w:sz w:val="18"/>
        </w:rPr>
        <w:tab/>
        <w:t>(</w:t>
      </w:r>
      <w:r w:rsidRPr="003815BE">
        <w:rPr>
          <w:iCs/>
          <w:sz w:val="18"/>
        </w:rPr>
        <w:t>a)  review any proposed changes to the collateral consequences guide;</w:t>
      </w:r>
    </w:p>
    <w:p w14:paraId="74CFC5C7" w14:textId="77777777" w:rsidR="0076113F" w:rsidRPr="003815BE" w:rsidRDefault="0076113F" w:rsidP="0076113F">
      <w:pPr>
        <w:widowControl/>
        <w:suppressAutoHyphens/>
        <w:rPr>
          <w:bCs/>
          <w:iCs/>
          <w:sz w:val="18"/>
        </w:rPr>
      </w:pPr>
      <w:r w:rsidRPr="003815BE">
        <w:rPr>
          <w:bCs/>
          <w:iCs/>
          <w:sz w:val="18"/>
        </w:rPr>
        <w:tab/>
        <w:t>(</w:t>
      </w:r>
      <w:r w:rsidRPr="003815BE">
        <w:rPr>
          <w:iCs/>
          <w:sz w:val="18"/>
        </w:rPr>
        <w:t>b)  approve any proposed changes to the collateral consequences guide;</w:t>
      </w:r>
    </w:p>
    <w:p w14:paraId="61E3545C" w14:textId="77777777" w:rsidR="0076113F" w:rsidRPr="003815BE" w:rsidRDefault="0076113F" w:rsidP="0076113F">
      <w:pPr>
        <w:widowControl/>
        <w:suppressAutoHyphens/>
        <w:rPr>
          <w:bCs/>
          <w:iCs/>
          <w:sz w:val="18"/>
        </w:rPr>
      </w:pPr>
      <w:r w:rsidRPr="003815BE">
        <w:rPr>
          <w:bCs/>
          <w:iCs/>
          <w:sz w:val="18"/>
        </w:rPr>
        <w:tab/>
        <w:t>(</w:t>
      </w:r>
      <w:r w:rsidRPr="003815BE">
        <w:rPr>
          <w:iCs/>
          <w:sz w:val="18"/>
        </w:rPr>
        <w:t>c)  consider whether to recommend legislation regarding collateral consequences; and</w:t>
      </w:r>
    </w:p>
    <w:p w14:paraId="69282B01" w14:textId="77777777" w:rsidR="0076113F" w:rsidRPr="003815BE" w:rsidRDefault="0076113F" w:rsidP="0076113F">
      <w:pPr>
        <w:widowControl/>
        <w:suppressAutoHyphens/>
        <w:rPr>
          <w:iCs/>
          <w:sz w:val="18"/>
        </w:rPr>
      </w:pPr>
      <w:r w:rsidRPr="003815BE">
        <w:rPr>
          <w:bCs/>
          <w:iCs/>
          <w:sz w:val="18"/>
        </w:rPr>
        <w:tab/>
        <w:t>(</w:t>
      </w:r>
      <w:r w:rsidRPr="003815BE">
        <w:rPr>
          <w:iCs/>
          <w:sz w:val="18"/>
        </w:rPr>
        <w:t>d)  present any proposed changes to the collateral consequences guide and any recommended legislation regarding collateral consequences to the Law Enforcement and Criminal Justice Interim Committee as required by Subsection 63M-7-405(2).</w:t>
      </w:r>
    </w:p>
    <w:p w14:paraId="4506C08C" w14:textId="77777777" w:rsidR="0076113F" w:rsidRPr="003815BE" w:rsidRDefault="0076113F" w:rsidP="0076113F">
      <w:pPr>
        <w:widowControl/>
        <w:suppressAutoHyphens/>
        <w:rPr>
          <w:iCs/>
          <w:sz w:val="18"/>
        </w:rPr>
      </w:pPr>
    </w:p>
    <w:p w14:paraId="2F158604" w14:textId="77777777" w:rsidR="0076113F" w:rsidRPr="003815BE" w:rsidRDefault="0076113F" w:rsidP="0076113F">
      <w:pPr>
        <w:widowControl/>
        <w:suppressAutoHyphens/>
        <w:rPr>
          <w:bCs/>
          <w:iCs/>
          <w:sz w:val="18"/>
        </w:rPr>
      </w:pPr>
      <w:r w:rsidRPr="003815BE">
        <w:rPr>
          <w:b/>
          <w:bCs/>
          <w:iCs/>
          <w:sz w:val="18"/>
        </w:rPr>
        <w:t>KEY:  sentencing commission policies</w:t>
      </w:r>
    </w:p>
    <w:p w14:paraId="67C3020C" w14:textId="225BD329" w:rsidR="0076113F" w:rsidRPr="003815BE" w:rsidRDefault="0076113F" w:rsidP="0076113F">
      <w:pPr>
        <w:widowControl/>
        <w:suppressAutoHyphens/>
        <w:rPr>
          <w:bCs/>
          <w:iCs/>
          <w:sz w:val="18"/>
        </w:rPr>
      </w:pPr>
      <w:r w:rsidRPr="003815BE">
        <w:rPr>
          <w:b/>
          <w:bCs/>
          <w:iCs/>
          <w:sz w:val="18"/>
        </w:rPr>
        <w:t xml:space="preserve">Date of Last Change:  </w:t>
      </w:r>
      <w:r w:rsidR="004A2530" w:rsidRPr="003815BE">
        <w:rPr>
          <w:b/>
          <w:bCs/>
          <w:iCs/>
          <w:sz w:val="18"/>
        </w:rPr>
        <w:t xml:space="preserve">December 10, </w:t>
      </w:r>
      <w:r w:rsidRPr="003815BE">
        <w:rPr>
          <w:b/>
          <w:bCs/>
          <w:iCs/>
          <w:sz w:val="18"/>
        </w:rPr>
        <w:t>2024</w:t>
      </w:r>
    </w:p>
    <w:p w14:paraId="3F3261D9" w14:textId="77777777" w:rsidR="0076113F" w:rsidRPr="003815BE" w:rsidRDefault="0076113F" w:rsidP="0076113F">
      <w:pPr>
        <w:widowControl/>
        <w:suppressAutoHyphens/>
        <w:rPr>
          <w:sz w:val="18"/>
        </w:rPr>
      </w:pPr>
      <w:r w:rsidRPr="003815BE">
        <w:rPr>
          <w:b/>
          <w:bCs/>
          <w:iCs/>
          <w:sz w:val="18"/>
        </w:rPr>
        <w:t>Authorizing, and Implemented or Interpreted Law:  401.2(2)(a)</w:t>
      </w:r>
    </w:p>
    <w:p w14:paraId="0AE0935C" w14:textId="77777777" w:rsidR="0076113F" w:rsidRPr="003815BE" w:rsidRDefault="0076113F" w:rsidP="0076113F">
      <w:pPr>
        <w:widowControl/>
        <w:suppressAutoHyphens/>
        <w:rPr>
          <w:sz w:val="18"/>
        </w:rPr>
      </w:pPr>
    </w:p>
    <w:p w14:paraId="1517375E" w14:textId="4A6A55A5" w:rsidR="002914D4" w:rsidRPr="003815BE" w:rsidRDefault="002914D4" w:rsidP="0076113F">
      <w:pPr>
        <w:widowControl/>
        <w:suppressAutoHyphens/>
        <w:rPr>
          <w:sz w:val="18"/>
        </w:rPr>
      </w:pPr>
    </w:p>
    <w:sectPr w:rsidR="002914D4" w:rsidRPr="003815BE" w:rsidSect="003815B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B99D5F" w14:textId="77777777" w:rsidR="0023607B" w:rsidRDefault="0023607B" w:rsidP="00C17968">
      <w:r>
        <w:separator/>
      </w:r>
    </w:p>
  </w:endnote>
  <w:endnote w:type="continuationSeparator" w:id="0">
    <w:p w14:paraId="53625954" w14:textId="77777777" w:rsidR="0023607B" w:rsidRDefault="0023607B"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DAD42" w14:textId="77777777" w:rsidR="0023607B" w:rsidRDefault="0023607B" w:rsidP="00C17968">
      <w:r>
        <w:separator/>
      </w:r>
    </w:p>
  </w:footnote>
  <w:footnote w:type="continuationSeparator" w:id="0">
    <w:p w14:paraId="4B7CC6E6" w14:textId="77777777" w:rsidR="0023607B" w:rsidRDefault="0023607B"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139B"/>
    <w:rsid w:val="00027A64"/>
    <w:rsid w:val="0003198B"/>
    <w:rsid w:val="00050AB6"/>
    <w:rsid w:val="0005628D"/>
    <w:rsid w:val="00083289"/>
    <w:rsid w:val="00086A4C"/>
    <w:rsid w:val="00092D64"/>
    <w:rsid w:val="000A63C1"/>
    <w:rsid w:val="000A74B6"/>
    <w:rsid w:val="000B0C8F"/>
    <w:rsid w:val="000C3C78"/>
    <w:rsid w:val="000E7CDD"/>
    <w:rsid w:val="00101FCF"/>
    <w:rsid w:val="00102BB0"/>
    <w:rsid w:val="001314E6"/>
    <w:rsid w:val="00136C69"/>
    <w:rsid w:val="00136E6B"/>
    <w:rsid w:val="00140B4F"/>
    <w:rsid w:val="001440EA"/>
    <w:rsid w:val="00151B36"/>
    <w:rsid w:val="001769DF"/>
    <w:rsid w:val="0018100B"/>
    <w:rsid w:val="001B1B40"/>
    <w:rsid w:val="001C3DAB"/>
    <w:rsid w:val="001E4BA8"/>
    <w:rsid w:val="001F78BA"/>
    <w:rsid w:val="00210E2C"/>
    <w:rsid w:val="00214BA0"/>
    <w:rsid w:val="0023607B"/>
    <w:rsid w:val="00250B69"/>
    <w:rsid w:val="00253C3B"/>
    <w:rsid w:val="00256032"/>
    <w:rsid w:val="002639EB"/>
    <w:rsid w:val="00266359"/>
    <w:rsid w:val="00272D20"/>
    <w:rsid w:val="00282CAA"/>
    <w:rsid w:val="002914D4"/>
    <w:rsid w:val="00291DCA"/>
    <w:rsid w:val="00296B2B"/>
    <w:rsid w:val="00297523"/>
    <w:rsid w:val="002B721A"/>
    <w:rsid w:val="002C31EE"/>
    <w:rsid w:val="002D4474"/>
    <w:rsid w:val="002E6F38"/>
    <w:rsid w:val="002F45BF"/>
    <w:rsid w:val="003121D3"/>
    <w:rsid w:val="003150B7"/>
    <w:rsid w:val="00316A41"/>
    <w:rsid w:val="00321020"/>
    <w:rsid w:val="003217E6"/>
    <w:rsid w:val="00335956"/>
    <w:rsid w:val="0033622C"/>
    <w:rsid w:val="00342459"/>
    <w:rsid w:val="00353C5B"/>
    <w:rsid w:val="00364A49"/>
    <w:rsid w:val="00364C2A"/>
    <w:rsid w:val="00373FE5"/>
    <w:rsid w:val="00380D52"/>
    <w:rsid w:val="003815BE"/>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A2530"/>
    <w:rsid w:val="004B7F3B"/>
    <w:rsid w:val="004C20EA"/>
    <w:rsid w:val="004C4015"/>
    <w:rsid w:val="004D328F"/>
    <w:rsid w:val="004D4122"/>
    <w:rsid w:val="00502B6E"/>
    <w:rsid w:val="00516E14"/>
    <w:rsid w:val="00525CA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944D1"/>
    <w:rsid w:val="006A3F24"/>
    <w:rsid w:val="006A7D14"/>
    <w:rsid w:val="006B70AF"/>
    <w:rsid w:val="006D167F"/>
    <w:rsid w:val="006F51EF"/>
    <w:rsid w:val="007047A1"/>
    <w:rsid w:val="00713104"/>
    <w:rsid w:val="00715301"/>
    <w:rsid w:val="00716F7B"/>
    <w:rsid w:val="007231FC"/>
    <w:rsid w:val="00723BDF"/>
    <w:rsid w:val="00736DC2"/>
    <w:rsid w:val="00741C77"/>
    <w:rsid w:val="00746934"/>
    <w:rsid w:val="00753C35"/>
    <w:rsid w:val="0076113F"/>
    <w:rsid w:val="007613E9"/>
    <w:rsid w:val="00762BDA"/>
    <w:rsid w:val="00772653"/>
    <w:rsid w:val="00796BA5"/>
    <w:rsid w:val="007A1FEA"/>
    <w:rsid w:val="007B6C82"/>
    <w:rsid w:val="007C6A9B"/>
    <w:rsid w:val="007D0B87"/>
    <w:rsid w:val="007D1F9D"/>
    <w:rsid w:val="008315F8"/>
    <w:rsid w:val="00835660"/>
    <w:rsid w:val="00840B24"/>
    <w:rsid w:val="00844B36"/>
    <w:rsid w:val="008637F2"/>
    <w:rsid w:val="008705CB"/>
    <w:rsid w:val="00881972"/>
    <w:rsid w:val="008829AB"/>
    <w:rsid w:val="00890A1F"/>
    <w:rsid w:val="008B0B8A"/>
    <w:rsid w:val="008D6C4B"/>
    <w:rsid w:val="008E7D9B"/>
    <w:rsid w:val="009174AF"/>
    <w:rsid w:val="009226D8"/>
    <w:rsid w:val="00922D61"/>
    <w:rsid w:val="009279FD"/>
    <w:rsid w:val="009510CD"/>
    <w:rsid w:val="00964E49"/>
    <w:rsid w:val="009751C8"/>
    <w:rsid w:val="0099724C"/>
    <w:rsid w:val="009A2A78"/>
    <w:rsid w:val="009A3237"/>
    <w:rsid w:val="009B5790"/>
    <w:rsid w:val="009C0017"/>
    <w:rsid w:val="009C2A6A"/>
    <w:rsid w:val="009E5ABD"/>
    <w:rsid w:val="00A0145C"/>
    <w:rsid w:val="00A1785E"/>
    <w:rsid w:val="00A21782"/>
    <w:rsid w:val="00A2194C"/>
    <w:rsid w:val="00A2684B"/>
    <w:rsid w:val="00A41D37"/>
    <w:rsid w:val="00A52209"/>
    <w:rsid w:val="00A6312E"/>
    <w:rsid w:val="00A9304C"/>
    <w:rsid w:val="00A93EFE"/>
    <w:rsid w:val="00AA43F1"/>
    <w:rsid w:val="00AA649A"/>
    <w:rsid w:val="00AB0BE0"/>
    <w:rsid w:val="00AB5714"/>
    <w:rsid w:val="00AC2734"/>
    <w:rsid w:val="00AC60A3"/>
    <w:rsid w:val="00AD5BF8"/>
    <w:rsid w:val="00AF1519"/>
    <w:rsid w:val="00B0160D"/>
    <w:rsid w:val="00B05550"/>
    <w:rsid w:val="00B132A1"/>
    <w:rsid w:val="00B1423E"/>
    <w:rsid w:val="00B33858"/>
    <w:rsid w:val="00B41350"/>
    <w:rsid w:val="00B507FA"/>
    <w:rsid w:val="00B606F6"/>
    <w:rsid w:val="00B61024"/>
    <w:rsid w:val="00B62A8D"/>
    <w:rsid w:val="00B67C05"/>
    <w:rsid w:val="00B8572A"/>
    <w:rsid w:val="00B974B0"/>
    <w:rsid w:val="00BC5E52"/>
    <w:rsid w:val="00BD38D5"/>
    <w:rsid w:val="00BD453C"/>
    <w:rsid w:val="00BE6E0F"/>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B214B"/>
    <w:rsid w:val="00CC1DE2"/>
    <w:rsid w:val="00CC2F8D"/>
    <w:rsid w:val="00CE4429"/>
    <w:rsid w:val="00CE4EB2"/>
    <w:rsid w:val="00CF36B3"/>
    <w:rsid w:val="00D01884"/>
    <w:rsid w:val="00D049FE"/>
    <w:rsid w:val="00D06A99"/>
    <w:rsid w:val="00D222F2"/>
    <w:rsid w:val="00D22416"/>
    <w:rsid w:val="00D2400F"/>
    <w:rsid w:val="00D26D4A"/>
    <w:rsid w:val="00D31690"/>
    <w:rsid w:val="00D330D2"/>
    <w:rsid w:val="00D41554"/>
    <w:rsid w:val="00D41ABA"/>
    <w:rsid w:val="00D43C65"/>
    <w:rsid w:val="00D66564"/>
    <w:rsid w:val="00D76607"/>
    <w:rsid w:val="00D7747A"/>
    <w:rsid w:val="00D80D65"/>
    <w:rsid w:val="00D97919"/>
    <w:rsid w:val="00DA783E"/>
    <w:rsid w:val="00DC0B97"/>
    <w:rsid w:val="00DC51B5"/>
    <w:rsid w:val="00DC5C94"/>
    <w:rsid w:val="00DE4AAB"/>
    <w:rsid w:val="00E06657"/>
    <w:rsid w:val="00E07350"/>
    <w:rsid w:val="00E33057"/>
    <w:rsid w:val="00E33275"/>
    <w:rsid w:val="00E52C8D"/>
    <w:rsid w:val="00E536BE"/>
    <w:rsid w:val="00E62DBC"/>
    <w:rsid w:val="00E71631"/>
    <w:rsid w:val="00E71E51"/>
    <w:rsid w:val="00E82711"/>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4755E"/>
    <w:rsid w:val="00F700BD"/>
    <w:rsid w:val="00F72AC8"/>
    <w:rsid w:val="00F75CA5"/>
    <w:rsid w:val="00F87DE9"/>
    <w:rsid w:val="00F91CB5"/>
    <w:rsid w:val="00F9541C"/>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14D4"/>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565490051">
      <w:bodyDiv w:val="1"/>
      <w:marLeft w:val="0"/>
      <w:marRight w:val="0"/>
      <w:marTop w:val="0"/>
      <w:marBottom w:val="0"/>
      <w:divBdr>
        <w:top w:val="none" w:sz="0" w:space="0" w:color="auto"/>
        <w:left w:val="none" w:sz="0" w:space="0" w:color="auto"/>
        <w:bottom w:val="none" w:sz="0" w:space="0" w:color="auto"/>
        <w:right w:val="none" w:sz="0" w:space="0" w:color="auto"/>
      </w:divBdr>
    </w:div>
    <w:div w:id="160164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694</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2024-12-10T20:49:00Z</dcterms:created>
  <dcterms:modified xsi:type="dcterms:W3CDTF">2024-12-10T20:49:00Z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0ac5ff5bf4baa10a20928e6f3907fa24ae83ac4fb95660d4507dcf26647e3058</vt:lpwstr>
  </property>
</Properties>
</file>