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98A51" w14:textId="77777777" w:rsidR="00CA5B77" w:rsidRPr="00681603" w:rsidRDefault="00CA5B77" w:rsidP="00CA5B77">
      <w:pPr>
        <w:widowControl/>
        <w:suppressAutoHyphens/>
        <w:autoSpaceDE/>
        <w:autoSpaceDN/>
        <w:adjustRightInd/>
        <w:rPr>
          <w:sz w:val="18"/>
        </w:rPr>
      </w:pPr>
      <w:r w:rsidRPr="00681603">
        <w:rPr>
          <w:b/>
          <w:bCs/>
          <w:sz w:val="18"/>
          <w:szCs w:val="18"/>
        </w:rPr>
        <w:t>R650-103.  Natural Resources, Outdoor Recreation.</w:t>
      </w:r>
    </w:p>
    <w:p w14:paraId="103C1A19" w14:textId="77777777" w:rsidR="00CA5B77" w:rsidRPr="00681603" w:rsidRDefault="00CA5B77" w:rsidP="00CA5B77">
      <w:pPr>
        <w:widowControl/>
        <w:suppressAutoHyphens/>
        <w:autoSpaceDE/>
        <w:autoSpaceDN/>
        <w:adjustRightInd/>
        <w:rPr>
          <w:sz w:val="18"/>
        </w:rPr>
      </w:pPr>
      <w:r w:rsidRPr="00681603">
        <w:rPr>
          <w:b/>
          <w:bCs/>
          <w:sz w:val="18"/>
          <w:szCs w:val="18"/>
        </w:rPr>
        <w:t>R650-103.  Fiscal Emergency Contingent Management of Federal Lands.</w:t>
      </w:r>
    </w:p>
    <w:p w14:paraId="6CC1EE4C" w14:textId="77777777" w:rsidR="00CA5B77" w:rsidRPr="00681603" w:rsidRDefault="00CA5B77" w:rsidP="00CA5B77">
      <w:pPr>
        <w:widowControl/>
        <w:suppressAutoHyphens/>
        <w:autoSpaceDE/>
        <w:autoSpaceDN/>
        <w:adjustRightInd/>
        <w:rPr>
          <w:sz w:val="18"/>
        </w:rPr>
      </w:pPr>
      <w:r w:rsidRPr="00681603">
        <w:rPr>
          <w:b/>
          <w:bCs/>
          <w:sz w:val="18"/>
          <w:szCs w:val="18"/>
        </w:rPr>
        <w:t>R650-103-1.  Purpose.</w:t>
      </w:r>
    </w:p>
    <w:p w14:paraId="66DFC2CF" w14:textId="77777777" w:rsidR="00CA5B77" w:rsidRPr="00681603" w:rsidRDefault="00CA5B77" w:rsidP="00CA5B77">
      <w:pPr>
        <w:widowControl/>
        <w:suppressAutoHyphens/>
        <w:autoSpaceDE/>
        <w:autoSpaceDN/>
        <w:adjustRightInd/>
        <w:rPr>
          <w:sz w:val="18"/>
        </w:rPr>
      </w:pPr>
      <w:r w:rsidRPr="00681603">
        <w:rPr>
          <w:sz w:val="18"/>
          <w:szCs w:val="18"/>
        </w:rPr>
        <w:tab/>
        <w:t>The purpose of this rule is to address the variability of core natural assets that could be affected by a shut-down. The following list is the recommendations for prioritizing the opening of federal lands that would be affected. The priority list reflects minimizing the economic impact on Utah and the subsequent gateway communities.</w:t>
      </w:r>
    </w:p>
    <w:p w14:paraId="314159F0" w14:textId="77777777" w:rsidR="00CA5B77" w:rsidRPr="00681603" w:rsidRDefault="00CA5B77" w:rsidP="00CA5B77">
      <w:pPr>
        <w:widowControl/>
        <w:suppressAutoHyphens/>
        <w:autoSpaceDE/>
        <w:autoSpaceDN/>
        <w:adjustRightInd/>
        <w:rPr>
          <w:sz w:val="18"/>
        </w:rPr>
      </w:pPr>
    </w:p>
    <w:p w14:paraId="332424C1" w14:textId="77777777" w:rsidR="00CA5B77" w:rsidRPr="00681603" w:rsidRDefault="00CA5B77" w:rsidP="00CA5B77">
      <w:pPr>
        <w:widowControl/>
        <w:suppressAutoHyphens/>
        <w:autoSpaceDE/>
        <w:autoSpaceDN/>
        <w:adjustRightInd/>
        <w:rPr>
          <w:sz w:val="18"/>
        </w:rPr>
      </w:pPr>
      <w:r w:rsidRPr="00681603">
        <w:rPr>
          <w:b/>
          <w:bCs/>
          <w:sz w:val="18"/>
          <w:szCs w:val="18"/>
        </w:rPr>
        <w:t>R650-103-2.  Authority.</w:t>
      </w:r>
    </w:p>
    <w:p w14:paraId="0CA2CE6B" w14:textId="77777777" w:rsidR="00CA5B77" w:rsidRPr="00681603" w:rsidRDefault="00CA5B77" w:rsidP="00CA5B77">
      <w:pPr>
        <w:widowControl/>
        <w:suppressAutoHyphens/>
        <w:autoSpaceDE/>
        <w:autoSpaceDN/>
        <w:adjustRightInd/>
        <w:rPr>
          <w:sz w:val="18"/>
        </w:rPr>
      </w:pPr>
      <w:r w:rsidRPr="00681603">
        <w:rPr>
          <w:sz w:val="18"/>
          <w:szCs w:val="18"/>
        </w:rPr>
        <w:tab/>
        <w:t>In accordance with Subsections 79-4-1103(2</w:t>
      </w:r>
      <w:r w:rsidRPr="00681603">
        <w:rPr>
          <w:bCs/>
          <w:sz w:val="18"/>
          <w:szCs w:val="18"/>
        </w:rPr>
        <w:t xml:space="preserve">) </w:t>
      </w:r>
      <w:r w:rsidRPr="00681603">
        <w:rPr>
          <w:sz w:val="18"/>
          <w:szCs w:val="18"/>
        </w:rPr>
        <w:t>and (3), this rule establishes the priority for opening and maintaining national parks, national monuments, national forests, and national recreation areas in the state during a fiscal emergency.</w:t>
      </w:r>
    </w:p>
    <w:p w14:paraId="5CD58B3A" w14:textId="77777777" w:rsidR="00CA5B77" w:rsidRPr="00681603" w:rsidRDefault="00CA5B77" w:rsidP="00CA5B77">
      <w:pPr>
        <w:widowControl/>
        <w:suppressAutoHyphens/>
        <w:autoSpaceDE/>
        <w:autoSpaceDN/>
        <w:adjustRightInd/>
        <w:rPr>
          <w:sz w:val="18"/>
        </w:rPr>
      </w:pPr>
    </w:p>
    <w:p w14:paraId="074B1E4B" w14:textId="77777777" w:rsidR="00CA5B77" w:rsidRPr="00681603" w:rsidRDefault="00CA5B77" w:rsidP="00CA5B77">
      <w:pPr>
        <w:widowControl/>
        <w:suppressAutoHyphens/>
        <w:autoSpaceDE/>
        <w:autoSpaceDN/>
        <w:adjustRightInd/>
        <w:rPr>
          <w:sz w:val="18"/>
        </w:rPr>
      </w:pPr>
      <w:r w:rsidRPr="00681603">
        <w:rPr>
          <w:b/>
          <w:bCs/>
          <w:sz w:val="18"/>
          <w:szCs w:val="18"/>
        </w:rPr>
        <w:t>R650-103-3.  Definitions.</w:t>
      </w:r>
    </w:p>
    <w:p w14:paraId="67D5DE23" w14:textId="77777777" w:rsidR="00CA5B77" w:rsidRPr="00681603" w:rsidRDefault="00CA5B77" w:rsidP="00CA5B77">
      <w:pPr>
        <w:widowControl/>
        <w:suppressAutoHyphens/>
        <w:autoSpaceDE/>
        <w:autoSpaceDN/>
        <w:adjustRightInd/>
        <w:rPr>
          <w:sz w:val="18"/>
          <w:szCs w:val="18"/>
        </w:rPr>
      </w:pPr>
      <w:r w:rsidRPr="00681603">
        <w:rPr>
          <w:sz w:val="18"/>
          <w:szCs w:val="18"/>
        </w:rPr>
        <w:tab/>
        <w:t>This rule adopts the definitions set forth in Section 79-4-1101.</w:t>
      </w:r>
    </w:p>
    <w:p w14:paraId="12B7DC14" w14:textId="77777777" w:rsidR="00CA5B77" w:rsidRPr="00681603" w:rsidRDefault="00CA5B77" w:rsidP="00CA5B77">
      <w:pPr>
        <w:widowControl/>
        <w:suppressAutoHyphens/>
        <w:autoSpaceDE/>
        <w:autoSpaceDN/>
        <w:adjustRightInd/>
        <w:rPr>
          <w:sz w:val="18"/>
        </w:rPr>
      </w:pPr>
    </w:p>
    <w:p w14:paraId="3282AC4E" w14:textId="77777777" w:rsidR="00CA5B77" w:rsidRPr="00681603" w:rsidRDefault="00CA5B77" w:rsidP="00CA5B77">
      <w:pPr>
        <w:widowControl/>
        <w:suppressAutoHyphens/>
        <w:autoSpaceDE/>
        <w:autoSpaceDN/>
        <w:adjustRightInd/>
        <w:rPr>
          <w:sz w:val="18"/>
        </w:rPr>
      </w:pPr>
      <w:r w:rsidRPr="00681603">
        <w:rPr>
          <w:b/>
          <w:bCs/>
          <w:sz w:val="18"/>
          <w:szCs w:val="18"/>
        </w:rPr>
        <w:t>R650-103-4.  Priority List.</w:t>
      </w:r>
    </w:p>
    <w:p w14:paraId="5A18F949" w14:textId="77777777" w:rsidR="00CA5B77" w:rsidRPr="00681603" w:rsidRDefault="00CA5B77" w:rsidP="00CA5B77">
      <w:pPr>
        <w:widowControl/>
        <w:suppressAutoHyphens/>
        <w:autoSpaceDE/>
        <w:autoSpaceDN/>
        <w:adjustRightInd/>
        <w:rPr>
          <w:sz w:val="18"/>
          <w:szCs w:val="18"/>
        </w:rPr>
      </w:pPr>
      <w:r w:rsidRPr="00681603">
        <w:rPr>
          <w:sz w:val="18"/>
          <w:szCs w:val="18"/>
        </w:rPr>
        <w:tab/>
        <w:t>(1</w:t>
      </w:r>
      <w:r w:rsidRPr="00681603">
        <w:rPr>
          <w:bCs/>
          <w:sz w:val="18"/>
          <w:szCs w:val="18"/>
        </w:rPr>
        <w:t xml:space="preserve">)  </w:t>
      </w:r>
      <w:r w:rsidRPr="00681603">
        <w:rPr>
          <w:sz w:val="18"/>
          <w:szCs w:val="18"/>
        </w:rPr>
        <w:t>This rule has no effect until the requirements of Section 79-4-1102 have been satisfied.</w:t>
      </w:r>
    </w:p>
    <w:p w14:paraId="0B205444" w14:textId="77777777" w:rsidR="00CA5B77" w:rsidRPr="00681603" w:rsidRDefault="00CA5B77" w:rsidP="00CA5B77">
      <w:pPr>
        <w:widowControl/>
        <w:suppressAutoHyphens/>
        <w:autoSpaceDE/>
        <w:autoSpaceDN/>
        <w:adjustRightInd/>
        <w:rPr>
          <w:sz w:val="18"/>
        </w:rPr>
      </w:pPr>
      <w:r w:rsidRPr="00681603">
        <w:rPr>
          <w:sz w:val="18"/>
          <w:szCs w:val="18"/>
        </w:rPr>
        <w:tab/>
        <w:t>(2</w:t>
      </w:r>
      <w:r w:rsidRPr="00681603">
        <w:rPr>
          <w:bCs/>
          <w:sz w:val="18"/>
          <w:szCs w:val="18"/>
        </w:rPr>
        <w:t xml:space="preserve">)  </w:t>
      </w:r>
      <w:r w:rsidRPr="00681603">
        <w:rPr>
          <w:sz w:val="18"/>
          <w:szCs w:val="18"/>
        </w:rPr>
        <w:t>The following federally managed natural assets constitute locations in Utah, to be known as Tier I priorities. These</w:t>
      </w:r>
      <w:r w:rsidRPr="00681603">
        <w:rPr>
          <w:sz w:val="18"/>
          <w:szCs w:val="18"/>
        </w:rPr>
        <w:tab/>
        <w:t>assets should be funded to remain open year-round because of their significant economic contributions to nearby communities:</w:t>
      </w:r>
    </w:p>
    <w:p w14:paraId="724D7A02" w14:textId="77777777" w:rsidR="00CA5B77" w:rsidRPr="00681603" w:rsidRDefault="00CA5B77" w:rsidP="00CA5B77">
      <w:pPr>
        <w:widowControl/>
        <w:suppressAutoHyphens/>
        <w:autoSpaceDE/>
        <w:autoSpaceDN/>
        <w:adjustRightInd/>
        <w:rPr>
          <w:sz w:val="18"/>
        </w:rPr>
      </w:pPr>
      <w:r w:rsidRPr="00681603">
        <w:rPr>
          <w:sz w:val="18"/>
          <w:szCs w:val="18"/>
        </w:rPr>
        <w:tab/>
        <w:t>(a</w:t>
      </w:r>
      <w:r w:rsidRPr="00681603">
        <w:rPr>
          <w:bCs/>
          <w:sz w:val="18"/>
          <w:szCs w:val="18"/>
        </w:rPr>
        <w:t xml:space="preserve">)  </w:t>
      </w:r>
      <w:r w:rsidRPr="00681603">
        <w:rPr>
          <w:sz w:val="18"/>
          <w:szCs w:val="18"/>
        </w:rPr>
        <w:t>Arches National Park;</w:t>
      </w:r>
    </w:p>
    <w:p w14:paraId="214E9F9B" w14:textId="77777777" w:rsidR="00CA5B77" w:rsidRPr="00681603" w:rsidRDefault="00CA5B77" w:rsidP="00CA5B77">
      <w:pPr>
        <w:widowControl/>
        <w:suppressAutoHyphens/>
        <w:autoSpaceDE/>
        <w:autoSpaceDN/>
        <w:adjustRightInd/>
        <w:rPr>
          <w:sz w:val="18"/>
        </w:rPr>
      </w:pPr>
      <w:r w:rsidRPr="00681603">
        <w:rPr>
          <w:sz w:val="18"/>
          <w:szCs w:val="18"/>
        </w:rPr>
        <w:tab/>
        <w:t>(b</w:t>
      </w:r>
      <w:r w:rsidRPr="00681603">
        <w:rPr>
          <w:bCs/>
          <w:sz w:val="18"/>
          <w:szCs w:val="18"/>
        </w:rPr>
        <w:t xml:space="preserve">)  </w:t>
      </w:r>
      <w:r w:rsidRPr="00681603">
        <w:rPr>
          <w:sz w:val="18"/>
          <w:szCs w:val="18"/>
        </w:rPr>
        <w:t>Bryce National Park;</w:t>
      </w:r>
    </w:p>
    <w:p w14:paraId="604DC0F8" w14:textId="77777777" w:rsidR="00CA5B77" w:rsidRPr="00681603" w:rsidRDefault="00CA5B77" w:rsidP="00CA5B77">
      <w:pPr>
        <w:widowControl/>
        <w:suppressAutoHyphens/>
        <w:autoSpaceDE/>
        <w:autoSpaceDN/>
        <w:adjustRightInd/>
        <w:rPr>
          <w:sz w:val="18"/>
        </w:rPr>
      </w:pPr>
      <w:r w:rsidRPr="00681603">
        <w:rPr>
          <w:sz w:val="18"/>
          <w:szCs w:val="18"/>
        </w:rPr>
        <w:tab/>
        <w:t>(c</w:t>
      </w:r>
      <w:r w:rsidRPr="00681603">
        <w:rPr>
          <w:bCs/>
          <w:sz w:val="18"/>
          <w:szCs w:val="18"/>
        </w:rPr>
        <w:t xml:space="preserve">)  </w:t>
      </w:r>
      <w:r w:rsidRPr="00681603">
        <w:rPr>
          <w:sz w:val="18"/>
          <w:szCs w:val="18"/>
        </w:rPr>
        <w:t>Canyonlands National Park;</w:t>
      </w:r>
    </w:p>
    <w:p w14:paraId="21F0C4C2" w14:textId="77777777" w:rsidR="00CA5B77" w:rsidRPr="00681603" w:rsidRDefault="00CA5B77" w:rsidP="00CA5B77">
      <w:pPr>
        <w:widowControl/>
        <w:suppressAutoHyphens/>
        <w:autoSpaceDE/>
        <w:autoSpaceDN/>
        <w:adjustRightInd/>
        <w:rPr>
          <w:sz w:val="18"/>
        </w:rPr>
      </w:pPr>
      <w:r w:rsidRPr="00681603">
        <w:rPr>
          <w:sz w:val="18"/>
          <w:szCs w:val="18"/>
        </w:rPr>
        <w:tab/>
        <w:t>(d</w:t>
      </w:r>
      <w:r w:rsidRPr="00681603">
        <w:rPr>
          <w:bCs/>
          <w:sz w:val="18"/>
          <w:szCs w:val="18"/>
        </w:rPr>
        <w:t xml:space="preserve">)  </w:t>
      </w:r>
      <w:r w:rsidRPr="00681603">
        <w:rPr>
          <w:sz w:val="18"/>
          <w:szCs w:val="18"/>
        </w:rPr>
        <w:t>Capitol Reef National Park;</w:t>
      </w:r>
    </w:p>
    <w:p w14:paraId="2CB91813" w14:textId="77777777" w:rsidR="00CA5B77" w:rsidRPr="00681603" w:rsidRDefault="00CA5B77" w:rsidP="00CA5B77">
      <w:pPr>
        <w:widowControl/>
        <w:suppressAutoHyphens/>
        <w:autoSpaceDE/>
        <w:autoSpaceDN/>
        <w:adjustRightInd/>
        <w:rPr>
          <w:sz w:val="18"/>
        </w:rPr>
      </w:pPr>
      <w:r w:rsidRPr="00681603">
        <w:rPr>
          <w:sz w:val="18"/>
          <w:szCs w:val="18"/>
        </w:rPr>
        <w:tab/>
        <w:t>(e</w:t>
      </w:r>
      <w:r w:rsidRPr="00681603">
        <w:rPr>
          <w:bCs/>
          <w:sz w:val="18"/>
          <w:szCs w:val="18"/>
        </w:rPr>
        <w:t xml:space="preserve">)  </w:t>
      </w:r>
      <w:r w:rsidRPr="00681603">
        <w:rPr>
          <w:sz w:val="18"/>
          <w:szCs w:val="18"/>
        </w:rPr>
        <w:t>Zion National Park;</w:t>
      </w:r>
    </w:p>
    <w:p w14:paraId="53DD6353" w14:textId="77777777" w:rsidR="00CA5B77" w:rsidRPr="00681603" w:rsidRDefault="00CA5B77" w:rsidP="00CA5B77">
      <w:pPr>
        <w:widowControl/>
        <w:suppressAutoHyphens/>
        <w:autoSpaceDE/>
        <w:autoSpaceDN/>
        <w:adjustRightInd/>
        <w:rPr>
          <w:sz w:val="18"/>
        </w:rPr>
      </w:pPr>
      <w:r w:rsidRPr="00681603">
        <w:rPr>
          <w:sz w:val="18"/>
          <w:szCs w:val="18"/>
        </w:rPr>
        <w:tab/>
        <w:t>(f</w:t>
      </w:r>
      <w:r w:rsidRPr="00681603">
        <w:rPr>
          <w:bCs/>
          <w:sz w:val="18"/>
          <w:szCs w:val="18"/>
        </w:rPr>
        <w:t xml:space="preserve">)  </w:t>
      </w:r>
      <w:r w:rsidRPr="00681603">
        <w:rPr>
          <w:sz w:val="18"/>
          <w:szCs w:val="18"/>
        </w:rPr>
        <w:t>Cedar Breaks National Monument; and</w:t>
      </w:r>
    </w:p>
    <w:p w14:paraId="6F38397F" w14:textId="77777777" w:rsidR="00CA5B77" w:rsidRPr="00681603" w:rsidRDefault="00CA5B77" w:rsidP="00CA5B77">
      <w:pPr>
        <w:widowControl/>
        <w:suppressAutoHyphens/>
        <w:autoSpaceDE/>
        <w:autoSpaceDN/>
        <w:adjustRightInd/>
        <w:rPr>
          <w:sz w:val="18"/>
        </w:rPr>
      </w:pPr>
      <w:r w:rsidRPr="00681603">
        <w:rPr>
          <w:sz w:val="18"/>
          <w:szCs w:val="18"/>
        </w:rPr>
        <w:tab/>
        <w:t>(g</w:t>
      </w:r>
      <w:r w:rsidRPr="00681603">
        <w:rPr>
          <w:bCs/>
          <w:sz w:val="18"/>
          <w:szCs w:val="18"/>
        </w:rPr>
        <w:t xml:space="preserve">)  </w:t>
      </w:r>
      <w:r w:rsidRPr="00681603">
        <w:rPr>
          <w:sz w:val="18"/>
          <w:szCs w:val="18"/>
        </w:rPr>
        <w:t>Glen Canyon National Recreation Area.</w:t>
      </w:r>
    </w:p>
    <w:p w14:paraId="5B02AEE0" w14:textId="77777777" w:rsidR="00CA5B77" w:rsidRPr="00681603" w:rsidRDefault="00CA5B77" w:rsidP="00CA5B77">
      <w:pPr>
        <w:widowControl/>
        <w:suppressAutoHyphens/>
        <w:autoSpaceDE/>
        <w:autoSpaceDN/>
        <w:adjustRightInd/>
        <w:rPr>
          <w:sz w:val="18"/>
        </w:rPr>
      </w:pPr>
      <w:r w:rsidRPr="00681603">
        <w:rPr>
          <w:sz w:val="18"/>
          <w:szCs w:val="18"/>
        </w:rPr>
        <w:tab/>
        <w:t>(3</w:t>
      </w:r>
      <w:r w:rsidRPr="00681603">
        <w:rPr>
          <w:bCs/>
          <w:sz w:val="18"/>
          <w:szCs w:val="18"/>
        </w:rPr>
        <w:t xml:space="preserve">)  </w:t>
      </w:r>
      <w:r w:rsidRPr="00681603">
        <w:rPr>
          <w:sz w:val="18"/>
          <w:szCs w:val="18"/>
        </w:rPr>
        <w:t>The following constitute natural assets that generate significant seasonal value for local communities and will be known as Tier II priorities. These assets should remain open during the specified seasonal period once each Tier I location has been funded for opening during a fiscal emergency:</w:t>
      </w:r>
    </w:p>
    <w:p w14:paraId="10FBBD64" w14:textId="77777777" w:rsidR="00CA5B77" w:rsidRPr="00681603" w:rsidRDefault="00CA5B77" w:rsidP="00CA5B77">
      <w:pPr>
        <w:widowControl/>
        <w:suppressAutoHyphens/>
        <w:autoSpaceDE/>
        <w:autoSpaceDN/>
        <w:adjustRightInd/>
        <w:rPr>
          <w:sz w:val="18"/>
        </w:rPr>
      </w:pPr>
      <w:r w:rsidRPr="00681603">
        <w:rPr>
          <w:sz w:val="18"/>
          <w:szCs w:val="18"/>
        </w:rPr>
        <w:tab/>
        <w:t>(a</w:t>
      </w:r>
      <w:r w:rsidRPr="00681603">
        <w:rPr>
          <w:bCs/>
          <w:sz w:val="18"/>
          <w:szCs w:val="18"/>
        </w:rPr>
        <w:t xml:space="preserve">)  </w:t>
      </w:r>
      <w:r w:rsidRPr="00681603">
        <w:rPr>
          <w:sz w:val="18"/>
          <w:szCs w:val="18"/>
        </w:rPr>
        <w:t>Bears Ears National Monument, April 1 through October 31;</w:t>
      </w:r>
    </w:p>
    <w:p w14:paraId="249D5C07" w14:textId="77777777" w:rsidR="00CA5B77" w:rsidRPr="00681603" w:rsidRDefault="00CA5B77" w:rsidP="00CA5B77">
      <w:pPr>
        <w:widowControl/>
        <w:suppressAutoHyphens/>
        <w:autoSpaceDE/>
        <w:autoSpaceDN/>
        <w:adjustRightInd/>
        <w:rPr>
          <w:sz w:val="18"/>
        </w:rPr>
      </w:pPr>
      <w:r w:rsidRPr="00681603">
        <w:rPr>
          <w:sz w:val="18"/>
          <w:szCs w:val="18"/>
        </w:rPr>
        <w:tab/>
        <w:t>(b</w:t>
      </w:r>
      <w:r w:rsidRPr="00681603">
        <w:rPr>
          <w:bCs/>
          <w:sz w:val="18"/>
          <w:szCs w:val="18"/>
        </w:rPr>
        <w:t xml:space="preserve">)  </w:t>
      </w:r>
      <w:r w:rsidRPr="00681603">
        <w:rPr>
          <w:sz w:val="18"/>
          <w:szCs w:val="18"/>
        </w:rPr>
        <w:t>Dinosaur National Monument, May 1 through October 31;</w:t>
      </w:r>
    </w:p>
    <w:p w14:paraId="43E042F2" w14:textId="77777777" w:rsidR="00CA5B77" w:rsidRPr="00681603" w:rsidRDefault="00CA5B77" w:rsidP="00CA5B77">
      <w:pPr>
        <w:widowControl/>
        <w:suppressAutoHyphens/>
        <w:autoSpaceDE/>
        <w:autoSpaceDN/>
        <w:adjustRightInd/>
        <w:rPr>
          <w:sz w:val="18"/>
        </w:rPr>
      </w:pPr>
      <w:r w:rsidRPr="00681603">
        <w:rPr>
          <w:sz w:val="18"/>
          <w:szCs w:val="18"/>
        </w:rPr>
        <w:tab/>
        <w:t>(c</w:t>
      </w:r>
      <w:r w:rsidRPr="00681603">
        <w:rPr>
          <w:bCs/>
          <w:sz w:val="18"/>
          <w:szCs w:val="18"/>
        </w:rPr>
        <w:t xml:space="preserve">)  </w:t>
      </w:r>
      <w:r w:rsidRPr="00681603">
        <w:rPr>
          <w:sz w:val="18"/>
          <w:szCs w:val="18"/>
        </w:rPr>
        <w:t>Golden Spike National Historic Park, May 1 through August 31;</w:t>
      </w:r>
    </w:p>
    <w:p w14:paraId="0D7525EB" w14:textId="77777777" w:rsidR="00CA5B77" w:rsidRPr="00681603" w:rsidRDefault="00CA5B77" w:rsidP="00CA5B77">
      <w:pPr>
        <w:widowControl/>
        <w:suppressAutoHyphens/>
        <w:autoSpaceDE/>
        <w:autoSpaceDN/>
        <w:adjustRightInd/>
        <w:rPr>
          <w:sz w:val="18"/>
        </w:rPr>
      </w:pPr>
      <w:r w:rsidRPr="00681603">
        <w:rPr>
          <w:sz w:val="18"/>
          <w:szCs w:val="18"/>
        </w:rPr>
        <w:tab/>
        <w:t>(d</w:t>
      </w:r>
      <w:r w:rsidRPr="00681603">
        <w:rPr>
          <w:bCs/>
          <w:sz w:val="18"/>
          <w:szCs w:val="18"/>
        </w:rPr>
        <w:t xml:space="preserve">)  </w:t>
      </w:r>
      <w:r w:rsidRPr="00681603">
        <w:rPr>
          <w:sz w:val="18"/>
          <w:szCs w:val="18"/>
        </w:rPr>
        <w:t>Grand Staircase-Escalante National Monument, April 1 through October 31; and</w:t>
      </w:r>
    </w:p>
    <w:p w14:paraId="623C6057"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the Monument would remain open to dispersed recreation; supplemental funding would be required to open the visitor centers and process guiding permits;</w:t>
      </w:r>
    </w:p>
    <w:p w14:paraId="4148DDBF" w14:textId="77777777" w:rsidR="00CA5B77" w:rsidRPr="00681603" w:rsidRDefault="00CA5B77" w:rsidP="00CA5B77">
      <w:pPr>
        <w:widowControl/>
        <w:suppressAutoHyphens/>
        <w:autoSpaceDE/>
        <w:autoSpaceDN/>
        <w:adjustRightInd/>
        <w:rPr>
          <w:sz w:val="18"/>
        </w:rPr>
      </w:pPr>
      <w:r w:rsidRPr="00681603">
        <w:rPr>
          <w:sz w:val="18"/>
          <w:szCs w:val="18"/>
        </w:rPr>
        <w:tab/>
        <w:t>(e</w:t>
      </w:r>
      <w:r w:rsidRPr="00681603">
        <w:rPr>
          <w:bCs/>
          <w:sz w:val="18"/>
          <w:szCs w:val="18"/>
        </w:rPr>
        <w:t xml:space="preserve">)  </w:t>
      </w:r>
      <w:proofErr w:type="spellStart"/>
      <w:r w:rsidRPr="00681603">
        <w:rPr>
          <w:sz w:val="18"/>
          <w:szCs w:val="18"/>
        </w:rPr>
        <w:t>Hovenweep</w:t>
      </w:r>
      <w:proofErr w:type="spellEnd"/>
      <w:r w:rsidRPr="00681603">
        <w:rPr>
          <w:sz w:val="18"/>
          <w:szCs w:val="18"/>
        </w:rPr>
        <w:t xml:space="preserve"> National Monument, April 1 through October 31;</w:t>
      </w:r>
    </w:p>
    <w:p w14:paraId="236FB0B2" w14:textId="77777777" w:rsidR="00CA5B77" w:rsidRPr="00681603" w:rsidRDefault="00CA5B77" w:rsidP="00CA5B77">
      <w:pPr>
        <w:widowControl/>
        <w:suppressAutoHyphens/>
        <w:autoSpaceDE/>
        <w:autoSpaceDN/>
        <w:adjustRightInd/>
        <w:rPr>
          <w:sz w:val="18"/>
        </w:rPr>
      </w:pPr>
      <w:r w:rsidRPr="00681603">
        <w:rPr>
          <w:sz w:val="18"/>
          <w:szCs w:val="18"/>
        </w:rPr>
        <w:tab/>
        <w:t>(f</w:t>
      </w:r>
      <w:r w:rsidRPr="00681603">
        <w:rPr>
          <w:bCs/>
          <w:sz w:val="18"/>
          <w:szCs w:val="18"/>
        </w:rPr>
        <w:t xml:space="preserve">)  </w:t>
      </w:r>
      <w:r w:rsidRPr="00681603">
        <w:rPr>
          <w:sz w:val="18"/>
          <w:szCs w:val="18"/>
        </w:rPr>
        <w:t>Flaming Gorge National Recreation Area, May 15 through September 15; and</w:t>
      </w:r>
    </w:p>
    <w:p w14:paraId="0EDA5B02"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Flaming Gorge is the only natural asset being managed by the National Forest Service that would require a separate</w:t>
      </w:r>
      <w:r w:rsidRPr="00681603">
        <w:rPr>
          <w:sz w:val="18"/>
        </w:rPr>
        <w:t xml:space="preserve"> </w:t>
      </w:r>
      <w:r w:rsidRPr="00681603">
        <w:rPr>
          <w:sz w:val="18"/>
          <w:szCs w:val="18"/>
        </w:rPr>
        <w:t>agreement with the Department of Agriculture; and</w:t>
      </w:r>
    </w:p>
    <w:p w14:paraId="69E213FF" w14:textId="77777777" w:rsidR="00CA5B77" w:rsidRPr="00681603" w:rsidRDefault="00CA5B77" w:rsidP="00CA5B77">
      <w:pPr>
        <w:widowControl/>
        <w:suppressAutoHyphens/>
        <w:autoSpaceDE/>
        <w:autoSpaceDN/>
        <w:adjustRightInd/>
        <w:rPr>
          <w:sz w:val="18"/>
        </w:rPr>
      </w:pPr>
      <w:r w:rsidRPr="00681603">
        <w:rPr>
          <w:sz w:val="18"/>
          <w:szCs w:val="18"/>
        </w:rPr>
        <w:tab/>
        <w:t>(ii</w:t>
      </w:r>
      <w:r w:rsidRPr="00681603">
        <w:rPr>
          <w:bCs/>
          <w:sz w:val="18"/>
          <w:szCs w:val="18"/>
        </w:rPr>
        <w:t xml:space="preserve">)  </w:t>
      </w:r>
      <w:r w:rsidRPr="00681603">
        <w:rPr>
          <w:sz w:val="18"/>
          <w:szCs w:val="18"/>
        </w:rPr>
        <w:t>the boat ramp and dispersed recreation would remain open to the public in the event of a fiscal emergency, supplemental funding would be required to allow the local concessionaires to remain open;</w:t>
      </w:r>
    </w:p>
    <w:p w14:paraId="2126074A" w14:textId="77777777" w:rsidR="00CA5B77" w:rsidRPr="00681603" w:rsidRDefault="00CA5B77" w:rsidP="00CA5B77">
      <w:pPr>
        <w:widowControl/>
        <w:suppressAutoHyphens/>
        <w:autoSpaceDE/>
        <w:autoSpaceDN/>
        <w:adjustRightInd/>
        <w:rPr>
          <w:sz w:val="18"/>
        </w:rPr>
      </w:pPr>
      <w:r w:rsidRPr="00681603">
        <w:rPr>
          <w:sz w:val="18"/>
          <w:szCs w:val="18"/>
        </w:rPr>
        <w:tab/>
        <w:t>(f</w:t>
      </w:r>
      <w:r w:rsidRPr="00681603">
        <w:rPr>
          <w:bCs/>
          <w:sz w:val="18"/>
          <w:szCs w:val="18"/>
        </w:rPr>
        <w:t xml:space="preserve">)  </w:t>
      </w:r>
      <w:r w:rsidRPr="00681603">
        <w:rPr>
          <w:sz w:val="18"/>
          <w:szCs w:val="18"/>
        </w:rPr>
        <w:t>San Juan River Special Recreation Management Area, March 1 through November 30; and</w:t>
      </w:r>
    </w:p>
    <w:p w14:paraId="4AF259B4"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supplemental funding would facilitate permit holders and concessionaires to continue to run the San Juan River;</w:t>
      </w:r>
    </w:p>
    <w:p w14:paraId="4E683498" w14:textId="77777777" w:rsidR="00CA5B77" w:rsidRPr="00681603" w:rsidRDefault="00CA5B77" w:rsidP="00CA5B77">
      <w:pPr>
        <w:widowControl/>
        <w:suppressAutoHyphens/>
        <w:autoSpaceDE/>
        <w:autoSpaceDN/>
        <w:adjustRightInd/>
        <w:rPr>
          <w:sz w:val="18"/>
        </w:rPr>
      </w:pPr>
      <w:r w:rsidRPr="00681603">
        <w:rPr>
          <w:sz w:val="18"/>
          <w:szCs w:val="18"/>
        </w:rPr>
        <w:tab/>
        <w:t>(g</w:t>
      </w:r>
      <w:r w:rsidRPr="00681603">
        <w:rPr>
          <w:bCs/>
          <w:sz w:val="18"/>
          <w:szCs w:val="18"/>
        </w:rPr>
        <w:t xml:space="preserve">)  </w:t>
      </w:r>
      <w:r w:rsidRPr="00681603">
        <w:rPr>
          <w:sz w:val="18"/>
          <w:szCs w:val="18"/>
        </w:rPr>
        <w:t>Desolation Canyon Special Recreation Management Area, May 1 through October 31; and</w:t>
      </w:r>
    </w:p>
    <w:p w14:paraId="0EB67BC5" w14:textId="77777777" w:rsidR="00CA5B77" w:rsidRPr="00681603" w:rsidRDefault="00CA5B77" w:rsidP="00CA5B77">
      <w:pPr>
        <w:widowControl/>
        <w:suppressAutoHyphens/>
        <w:autoSpaceDE/>
        <w:autoSpaceDN/>
        <w:adjustRightInd/>
        <w:rPr>
          <w:sz w:val="18"/>
          <w:szCs w:val="18"/>
        </w:rPr>
      </w:pPr>
      <w:r w:rsidRPr="00681603">
        <w:rPr>
          <w:sz w:val="18"/>
          <w:szCs w:val="18"/>
        </w:rPr>
        <w:tab/>
        <w:t>(i</w:t>
      </w:r>
      <w:r w:rsidRPr="00681603">
        <w:rPr>
          <w:bCs/>
          <w:sz w:val="18"/>
          <w:szCs w:val="18"/>
        </w:rPr>
        <w:t xml:space="preserve">)  </w:t>
      </w:r>
      <w:r w:rsidRPr="00681603">
        <w:rPr>
          <w:sz w:val="18"/>
          <w:szCs w:val="18"/>
        </w:rPr>
        <w:t>supplemental funding would facilitate permit holders and concessionaires to continue to run the Green River;</w:t>
      </w:r>
    </w:p>
    <w:p w14:paraId="09B6F229" w14:textId="77777777" w:rsidR="00CA5B77" w:rsidRPr="00681603" w:rsidRDefault="00CA5B77" w:rsidP="00CA5B77">
      <w:pPr>
        <w:widowControl/>
        <w:suppressAutoHyphens/>
        <w:autoSpaceDE/>
        <w:autoSpaceDN/>
        <w:adjustRightInd/>
        <w:rPr>
          <w:sz w:val="18"/>
        </w:rPr>
      </w:pPr>
      <w:r w:rsidRPr="00681603">
        <w:rPr>
          <w:sz w:val="18"/>
          <w:szCs w:val="18"/>
        </w:rPr>
        <w:tab/>
        <w:t>(h</w:t>
      </w:r>
      <w:r w:rsidRPr="00681603">
        <w:rPr>
          <w:bCs/>
          <w:sz w:val="18"/>
          <w:szCs w:val="18"/>
        </w:rPr>
        <w:t xml:space="preserve">)  </w:t>
      </w:r>
      <w:r w:rsidRPr="00681603">
        <w:rPr>
          <w:sz w:val="18"/>
          <w:szCs w:val="18"/>
        </w:rPr>
        <w:t>Two Rivers Special Recreation Management Area, April 1 through October 31; and</w:t>
      </w:r>
    </w:p>
    <w:p w14:paraId="4A74CE35" w14:textId="77777777" w:rsidR="00CA5B77" w:rsidRPr="00681603" w:rsidRDefault="00CA5B77" w:rsidP="00CA5B77">
      <w:pPr>
        <w:widowControl/>
        <w:suppressAutoHyphens/>
        <w:autoSpaceDE/>
        <w:autoSpaceDN/>
        <w:adjustRightInd/>
        <w:rPr>
          <w:sz w:val="18"/>
          <w:szCs w:val="18"/>
        </w:rPr>
      </w:pPr>
      <w:r w:rsidRPr="00681603">
        <w:rPr>
          <w:sz w:val="18"/>
          <w:szCs w:val="18"/>
        </w:rPr>
        <w:tab/>
        <w:t>(i</w:t>
      </w:r>
      <w:r w:rsidRPr="00681603">
        <w:rPr>
          <w:bCs/>
          <w:sz w:val="18"/>
          <w:szCs w:val="18"/>
        </w:rPr>
        <w:t xml:space="preserve">)  </w:t>
      </w:r>
      <w:r w:rsidRPr="00681603">
        <w:rPr>
          <w:sz w:val="18"/>
          <w:szCs w:val="18"/>
        </w:rPr>
        <w:t>supplemental funding would facilitate permit holders and concessionaires to continue to run the Westwater section of the Colorado River.</w:t>
      </w:r>
    </w:p>
    <w:p w14:paraId="7E17B3BF" w14:textId="77777777" w:rsidR="00CA5B77" w:rsidRPr="00681603" w:rsidRDefault="00CA5B77" w:rsidP="00CA5B77">
      <w:pPr>
        <w:widowControl/>
        <w:suppressAutoHyphens/>
        <w:autoSpaceDE/>
        <w:autoSpaceDN/>
        <w:adjustRightInd/>
        <w:rPr>
          <w:sz w:val="18"/>
          <w:szCs w:val="18"/>
        </w:rPr>
      </w:pPr>
      <w:r w:rsidRPr="00681603">
        <w:rPr>
          <w:sz w:val="18"/>
          <w:szCs w:val="18"/>
        </w:rPr>
        <w:tab/>
        <w:t>(j</w:t>
      </w:r>
      <w:r w:rsidRPr="00681603">
        <w:rPr>
          <w:bCs/>
          <w:sz w:val="18"/>
          <w:szCs w:val="18"/>
        </w:rPr>
        <w:t xml:space="preserve">)  </w:t>
      </w:r>
      <w:r w:rsidRPr="00681603">
        <w:rPr>
          <w:sz w:val="18"/>
          <w:szCs w:val="18"/>
        </w:rPr>
        <w:t>Natural Bridges National Monument.</w:t>
      </w:r>
    </w:p>
    <w:p w14:paraId="6E57A730" w14:textId="77777777" w:rsidR="00CA5B77" w:rsidRPr="00681603" w:rsidRDefault="00CA5B77" w:rsidP="00CA5B77">
      <w:pPr>
        <w:widowControl/>
        <w:suppressAutoHyphens/>
        <w:autoSpaceDE/>
        <w:autoSpaceDN/>
        <w:adjustRightInd/>
        <w:rPr>
          <w:sz w:val="18"/>
        </w:rPr>
      </w:pPr>
      <w:r w:rsidRPr="00681603">
        <w:rPr>
          <w:sz w:val="18"/>
          <w:szCs w:val="18"/>
        </w:rPr>
        <w:tab/>
        <w:t>(4</w:t>
      </w:r>
      <w:r w:rsidRPr="00681603">
        <w:rPr>
          <w:bCs/>
          <w:sz w:val="18"/>
          <w:szCs w:val="18"/>
        </w:rPr>
        <w:t xml:space="preserve">)  </w:t>
      </w:r>
      <w:r w:rsidRPr="00681603">
        <w:rPr>
          <w:sz w:val="18"/>
          <w:szCs w:val="18"/>
        </w:rPr>
        <w:t>The following locations, to be known as Tier III assets, require no supplemental funding in the event of a fiscal emergency. There is a general understanding with the Federal Public Land Managers that these assets should remain open to dispersed recreation as defined by the Federal Public Land Managers:</w:t>
      </w:r>
    </w:p>
    <w:p w14:paraId="33B5BF92" w14:textId="77777777" w:rsidR="00CA5B77" w:rsidRPr="00681603" w:rsidRDefault="00CA5B77" w:rsidP="00CA5B77">
      <w:pPr>
        <w:widowControl/>
        <w:suppressAutoHyphens/>
        <w:autoSpaceDE/>
        <w:autoSpaceDN/>
        <w:adjustRightInd/>
        <w:rPr>
          <w:sz w:val="18"/>
        </w:rPr>
      </w:pPr>
      <w:r w:rsidRPr="00681603">
        <w:rPr>
          <w:sz w:val="18"/>
          <w:szCs w:val="18"/>
        </w:rPr>
        <w:tab/>
        <w:t>(a</w:t>
      </w:r>
      <w:r w:rsidRPr="00681603">
        <w:rPr>
          <w:bCs/>
          <w:sz w:val="18"/>
          <w:szCs w:val="18"/>
        </w:rPr>
        <w:t xml:space="preserve">)  </w:t>
      </w:r>
      <w:r w:rsidRPr="00681603">
        <w:rPr>
          <w:sz w:val="18"/>
          <w:szCs w:val="18"/>
        </w:rPr>
        <w:t>Private concessionaires within the National Forest areas will be subject to the closure rules dictated by the Department of the Interior unless a Memorandum of Understanding with the regional Forest Service office can be negotiated; and</w:t>
      </w:r>
    </w:p>
    <w:p w14:paraId="5E830380" w14:textId="77777777" w:rsidR="00CA5B77" w:rsidRPr="00681603" w:rsidRDefault="00CA5B77" w:rsidP="00CA5B77">
      <w:pPr>
        <w:widowControl/>
        <w:suppressAutoHyphens/>
        <w:autoSpaceDE/>
        <w:autoSpaceDN/>
        <w:adjustRightInd/>
        <w:rPr>
          <w:sz w:val="18"/>
        </w:rPr>
      </w:pPr>
      <w:r w:rsidRPr="00681603">
        <w:rPr>
          <w:sz w:val="18"/>
          <w:szCs w:val="18"/>
        </w:rPr>
        <w:tab/>
        <w:t>(b</w:t>
      </w:r>
      <w:r w:rsidRPr="00681603">
        <w:rPr>
          <w:bCs/>
          <w:sz w:val="18"/>
          <w:szCs w:val="18"/>
        </w:rPr>
        <w:t xml:space="preserve">)  </w:t>
      </w:r>
      <w:r w:rsidRPr="00681603">
        <w:rPr>
          <w:sz w:val="18"/>
          <w:szCs w:val="18"/>
        </w:rPr>
        <w:t>the negotiation of the MOU will be initiated by the Executive Director of the Department of Natural Resources in consultation with the Director of the Office of Outdoor Recreation:</w:t>
      </w:r>
    </w:p>
    <w:p w14:paraId="632A3FEE"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Ashley National Forest;</w:t>
      </w:r>
    </w:p>
    <w:p w14:paraId="66E38605" w14:textId="77777777" w:rsidR="00CA5B77" w:rsidRPr="00681603" w:rsidRDefault="00CA5B77" w:rsidP="00CA5B77">
      <w:pPr>
        <w:widowControl/>
        <w:suppressAutoHyphens/>
        <w:autoSpaceDE/>
        <w:autoSpaceDN/>
        <w:adjustRightInd/>
        <w:rPr>
          <w:sz w:val="18"/>
        </w:rPr>
      </w:pPr>
      <w:r w:rsidRPr="00681603">
        <w:rPr>
          <w:sz w:val="18"/>
          <w:szCs w:val="18"/>
        </w:rPr>
        <w:tab/>
        <w:t>(ii</w:t>
      </w:r>
      <w:r w:rsidRPr="00681603">
        <w:rPr>
          <w:bCs/>
          <w:sz w:val="18"/>
          <w:szCs w:val="18"/>
        </w:rPr>
        <w:t xml:space="preserve">)  </w:t>
      </w:r>
      <w:r w:rsidRPr="00681603">
        <w:rPr>
          <w:sz w:val="18"/>
          <w:szCs w:val="18"/>
        </w:rPr>
        <w:t>Dixie National Forest;</w:t>
      </w:r>
    </w:p>
    <w:p w14:paraId="4199519F" w14:textId="77777777" w:rsidR="00CA5B77" w:rsidRPr="00681603" w:rsidRDefault="00CA5B77" w:rsidP="00CA5B77">
      <w:pPr>
        <w:widowControl/>
        <w:suppressAutoHyphens/>
        <w:autoSpaceDE/>
        <w:autoSpaceDN/>
        <w:adjustRightInd/>
        <w:rPr>
          <w:sz w:val="18"/>
        </w:rPr>
      </w:pPr>
      <w:r w:rsidRPr="00681603">
        <w:rPr>
          <w:sz w:val="18"/>
          <w:szCs w:val="18"/>
        </w:rPr>
        <w:tab/>
        <w:t>(iii</w:t>
      </w:r>
      <w:r w:rsidRPr="00681603">
        <w:rPr>
          <w:bCs/>
          <w:sz w:val="18"/>
          <w:szCs w:val="18"/>
        </w:rPr>
        <w:t xml:space="preserve">)  </w:t>
      </w:r>
      <w:proofErr w:type="spellStart"/>
      <w:r w:rsidRPr="00681603">
        <w:rPr>
          <w:sz w:val="18"/>
          <w:szCs w:val="18"/>
        </w:rPr>
        <w:t>Fishlake</w:t>
      </w:r>
      <w:proofErr w:type="spellEnd"/>
      <w:r w:rsidRPr="00681603">
        <w:rPr>
          <w:sz w:val="18"/>
          <w:szCs w:val="18"/>
        </w:rPr>
        <w:t xml:space="preserve"> National Forest;</w:t>
      </w:r>
    </w:p>
    <w:p w14:paraId="31DD1881" w14:textId="77777777" w:rsidR="00CA5B77" w:rsidRPr="00681603" w:rsidRDefault="00CA5B77" w:rsidP="00CA5B77">
      <w:pPr>
        <w:widowControl/>
        <w:suppressAutoHyphens/>
        <w:autoSpaceDE/>
        <w:autoSpaceDN/>
        <w:adjustRightInd/>
        <w:rPr>
          <w:sz w:val="18"/>
        </w:rPr>
      </w:pPr>
      <w:r w:rsidRPr="00681603">
        <w:rPr>
          <w:sz w:val="18"/>
          <w:szCs w:val="18"/>
        </w:rPr>
        <w:tab/>
        <w:t>(iv</w:t>
      </w:r>
      <w:r w:rsidRPr="00681603">
        <w:rPr>
          <w:bCs/>
          <w:sz w:val="18"/>
          <w:szCs w:val="18"/>
        </w:rPr>
        <w:t xml:space="preserve">)  </w:t>
      </w:r>
      <w:r w:rsidRPr="00681603">
        <w:rPr>
          <w:sz w:val="18"/>
          <w:szCs w:val="18"/>
        </w:rPr>
        <w:t>Manti-La Sal National Forest;</w:t>
      </w:r>
    </w:p>
    <w:p w14:paraId="0A01DB3E" w14:textId="77777777" w:rsidR="00CA5B77" w:rsidRPr="00681603" w:rsidRDefault="00CA5B77" w:rsidP="00CA5B77">
      <w:pPr>
        <w:widowControl/>
        <w:suppressAutoHyphens/>
        <w:autoSpaceDE/>
        <w:autoSpaceDN/>
        <w:adjustRightInd/>
        <w:rPr>
          <w:sz w:val="18"/>
        </w:rPr>
      </w:pPr>
      <w:r w:rsidRPr="00681603">
        <w:rPr>
          <w:sz w:val="18"/>
          <w:szCs w:val="18"/>
        </w:rPr>
        <w:tab/>
        <w:t>(v</w:t>
      </w:r>
      <w:r w:rsidRPr="00681603">
        <w:rPr>
          <w:bCs/>
          <w:sz w:val="18"/>
          <w:szCs w:val="18"/>
        </w:rPr>
        <w:t xml:space="preserve">)  </w:t>
      </w:r>
      <w:r w:rsidRPr="00681603">
        <w:rPr>
          <w:sz w:val="18"/>
          <w:szCs w:val="18"/>
        </w:rPr>
        <w:t>Uinta-Wasatch-Cache National Forest; and</w:t>
      </w:r>
    </w:p>
    <w:p w14:paraId="04448CDA" w14:textId="77777777" w:rsidR="00CA5B77" w:rsidRPr="00681603" w:rsidRDefault="00CA5B77" w:rsidP="00CA5B77">
      <w:pPr>
        <w:widowControl/>
        <w:suppressAutoHyphens/>
        <w:autoSpaceDE/>
        <w:autoSpaceDN/>
        <w:adjustRightInd/>
        <w:rPr>
          <w:sz w:val="18"/>
        </w:rPr>
      </w:pPr>
      <w:r w:rsidRPr="00681603">
        <w:rPr>
          <w:sz w:val="18"/>
          <w:szCs w:val="18"/>
        </w:rPr>
        <w:tab/>
        <w:t>(vi</w:t>
      </w:r>
      <w:r w:rsidRPr="00681603">
        <w:rPr>
          <w:bCs/>
          <w:sz w:val="18"/>
          <w:szCs w:val="18"/>
        </w:rPr>
        <w:t xml:space="preserve">)  </w:t>
      </w:r>
      <w:r w:rsidRPr="00681603">
        <w:rPr>
          <w:sz w:val="18"/>
          <w:szCs w:val="18"/>
        </w:rPr>
        <w:t>Any other BLM Special Recreation Management Areas not delineated in another section of this rule</w:t>
      </w:r>
    </w:p>
    <w:p w14:paraId="54DC4AEE" w14:textId="77777777" w:rsidR="00CA5B77" w:rsidRPr="00681603" w:rsidRDefault="00CA5B77" w:rsidP="00CA5B77">
      <w:pPr>
        <w:widowControl/>
        <w:suppressAutoHyphens/>
        <w:autoSpaceDE/>
        <w:autoSpaceDN/>
        <w:adjustRightInd/>
        <w:rPr>
          <w:sz w:val="18"/>
        </w:rPr>
      </w:pPr>
      <w:r w:rsidRPr="00681603">
        <w:rPr>
          <w:sz w:val="18"/>
          <w:szCs w:val="18"/>
        </w:rPr>
        <w:lastRenderedPageBreak/>
        <w:tab/>
        <w:t>(5</w:t>
      </w:r>
      <w:r w:rsidRPr="00681603">
        <w:rPr>
          <w:bCs/>
          <w:sz w:val="18"/>
          <w:szCs w:val="18"/>
        </w:rPr>
        <w:t xml:space="preserve">)  </w:t>
      </w:r>
      <w:r w:rsidRPr="00681603">
        <w:rPr>
          <w:sz w:val="18"/>
          <w:szCs w:val="18"/>
        </w:rPr>
        <w:t>The following natural assets are not recommended to be opened and maintained during a fiscal emergency due to</w:t>
      </w:r>
      <w:r w:rsidRPr="00681603">
        <w:rPr>
          <w:sz w:val="18"/>
        </w:rPr>
        <w:t xml:space="preserve"> </w:t>
      </w:r>
      <w:r w:rsidRPr="00681603">
        <w:rPr>
          <w:sz w:val="18"/>
          <w:szCs w:val="18"/>
        </w:rPr>
        <w:t>their minimal contribution to the local economies:</w:t>
      </w:r>
    </w:p>
    <w:p w14:paraId="22336E18" w14:textId="77777777" w:rsidR="00CA5B77" w:rsidRPr="00681603" w:rsidRDefault="00CA5B77" w:rsidP="00CA5B77">
      <w:pPr>
        <w:widowControl/>
        <w:suppressAutoHyphens/>
        <w:autoSpaceDE/>
        <w:autoSpaceDN/>
        <w:adjustRightInd/>
        <w:rPr>
          <w:sz w:val="18"/>
        </w:rPr>
      </w:pPr>
      <w:r w:rsidRPr="00681603">
        <w:rPr>
          <w:sz w:val="18"/>
          <w:szCs w:val="18"/>
        </w:rPr>
        <w:tab/>
        <w:t>(a</w:t>
      </w:r>
      <w:r w:rsidRPr="00681603">
        <w:rPr>
          <w:bCs/>
          <w:sz w:val="18"/>
          <w:szCs w:val="18"/>
        </w:rPr>
        <w:t xml:space="preserve">)  </w:t>
      </w:r>
      <w:proofErr w:type="spellStart"/>
      <w:r w:rsidRPr="00681603">
        <w:rPr>
          <w:sz w:val="18"/>
          <w:szCs w:val="18"/>
        </w:rPr>
        <w:t>Hovenweep</w:t>
      </w:r>
      <w:proofErr w:type="spellEnd"/>
      <w:r w:rsidRPr="00681603">
        <w:rPr>
          <w:sz w:val="18"/>
          <w:szCs w:val="18"/>
        </w:rPr>
        <w:t xml:space="preserve"> National Monument;</w:t>
      </w:r>
    </w:p>
    <w:p w14:paraId="2A135C32" w14:textId="77777777" w:rsidR="00CA5B77" w:rsidRPr="00681603" w:rsidRDefault="00CA5B77" w:rsidP="00CA5B77">
      <w:pPr>
        <w:widowControl/>
        <w:suppressAutoHyphens/>
        <w:autoSpaceDE/>
        <w:autoSpaceDN/>
        <w:adjustRightInd/>
        <w:rPr>
          <w:sz w:val="18"/>
        </w:rPr>
      </w:pPr>
      <w:r w:rsidRPr="00681603">
        <w:rPr>
          <w:sz w:val="18"/>
          <w:szCs w:val="18"/>
        </w:rPr>
        <w:tab/>
        <w:t>(b</w:t>
      </w:r>
      <w:r w:rsidRPr="00681603">
        <w:rPr>
          <w:bCs/>
          <w:sz w:val="18"/>
          <w:szCs w:val="18"/>
        </w:rPr>
        <w:t xml:space="preserve">)  </w:t>
      </w:r>
      <w:r w:rsidRPr="00681603">
        <w:rPr>
          <w:sz w:val="18"/>
          <w:szCs w:val="18"/>
        </w:rPr>
        <w:t>Timpanogos Cave National Monument; and</w:t>
      </w:r>
    </w:p>
    <w:p w14:paraId="43C4BCF6" w14:textId="77777777" w:rsidR="00CA5B77" w:rsidRPr="00681603" w:rsidRDefault="00CA5B77" w:rsidP="00CA5B77">
      <w:pPr>
        <w:widowControl/>
        <w:suppressAutoHyphens/>
        <w:autoSpaceDE/>
        <w:autoSpaceDN/>
        <w:adjustRightInd/>
        <w:rPr>
          <w:sz w:val="18"/>
        </w:rPr>
      </w:pPr>
      <w:r w:rsidRPr="00681603">
        <w:rPr>
          <w:sz w:val="18"/>
          <w:szCs w:val="18"/>
        </w:rPr>
        <w:tab/>
        <w:t>(c</w:t>
      </w:r>
      <w:r w:rsidRPr="00681603">
        <w:rPr>
          <w:bCs/>
          <w:sz w:val="18"/>
          <w:szCs w:val="18"/>
        </w:rPr>
        <w:t xml:space="preserve">)  </w:t>
      </w:r>
      <w:r w:rsidRPr="00681603">
        <w:rPr>
          <w:sz w:val="18"/>
          <w:szCs w:val="18"/>
        </w:rPr>
        <w:t>Little Sahara Special Recreation Management Area;</w:t>
      </w:r>
    </w:p>
    <w:p w14:paraId="6D91F830"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the gates would be closed, and public access would not be permitted during a fiscal emergency; and</w:t>
      </w:r>
    </w:p>
    <w:p w14:paraId="13EB4CF1" w14:textId="77777777" w:rsidR="00CA5B77" w:rsidRPr="00681603" w:rsidRDefault="00CA5B77" w:rsidP="00CA5B77">
      <w:pPr>
        <w:widowControl/>
        <w:suppressAutoHyphens/>
        <w:autoSpaceDE/>
        <w:autoSpaceDN/>
        <w:adjustRightInd/>
        <w:rPr>
          <w:sz w:val="18"/>
        </w:rPr>
      </w:pPr>
      <w:r w:rsidRPr="00681603">
        <w:rPr>
          <w:sz w:val="18"/>
          <w:szCs w:val="18"/>
        </w:rPr>
        <w:tab/>
        <w:t>(d</w:t>
      </w:r>
      <w:r w:rsidRPr="00681603">
        <w:rPr>
          <w:bCs/>
          <w:sz w:val="18"/>
          <w:szCs w:val="18"/>
        </w:rPr>
        <w:t xml:space="preserve">)  </w:t>
      </w:r>
      <w:r w:rsidRPr="00681603">
        <w:rPr>
          <w:sz w:val="18"/>
          <w:szCs w:val="18"/>
        </w:rPr>
        <w:t>Knolls Special Recreation Management Area.</w:t>
      </w:r>
    </w:p>
    <w:p w14:paraId="44F364A2" w14:textId="77777777" w:rsidR="00CA5B77" w:rsidRPr="00681603" w:rsidRDefault="00CA5B77" w:rsidP="00CA5B77">
      <w:pPr>
        <w:widowControl/>
        <w:suppressAutoHyphens/>
        <w:autoSpaceDE/>
        <w:autoSpaceDN/>
        <w:adjustRightInd/>
        <w:rPr>
          <w:sz w:val="18"/>
        </w:rPr>
      </w:pPr>
      <w:r w:rsidRPr="00681603">
        <w:rPr>
          <w:sz w:val="18"/>
          <w:szCs w:val="18"/>
        </w:rPr>
        <w:tab/>
        <w:t>(i</w:t>
      </w:r>
      <w:r w:rsidRPr="00681603">
        <w:rPr>
          <w:bCs/>
          <w:sz w:val="18"/>
          <w:szCs w:val="18"/>
        </w:rPr>
        <w:t xml:space="preserve">)  </w:t>
      </w:r>
      <w:r w:rsidRPr="00681603">
        <w:rPr>
          <w:sz w:val="18"/>
          <w:szCs w:val="18"/>
        </w:rPr>
        <w:t>the gates would be closed, and public access would not be permitted during a fiscal emergency.</w:t>
      </w:r>
    </w:p>
    <w:p w14:paraId="486885B3" w14:textId="77777777" w:rsidR="00CA5B77" w:rsidRPr="00681603" w:rsidRDefault="00CA5B77" w:rsidP="00CA5B77">
      <w:pPr>
        <w:widowControl/>
        <w:suppressAutoHyphens/>
        <w:autoSpaceDE/>
        <w:autoSpaceDN/>
        <w:adjustRightInd/>
        <w:rPr>
          <w:sz w:val="18"/>
        </w:rPr>
      </w:pPr>
      <w:r w:rsidRPr="00681603">
        <w:rPr>
          <w:sz w:val="18"/>
          <w:szCs w:val="18"/>
        </w:rPr>
        <w:tab/>
        <w:t>(6</w:t>
      </w:r>
      <w:r w:rsidRPr="00681603">
        <w:rPr>
          <w:bCs/>
          <w:sz w:val="18"/>
          <w:szCs w:val="18"/>
        </w:rPr>
        <w:t xml:space="preserve">)  </w:t>
      </w:r>
      <w:r w:rsidRPr="00681603">
        <w:rPr>
          <w:sz w:val="18"/>
          <w:szCs w:val="18"/>
        </w:rPr>
        <w:t>This section is designed in anticipation that a shut-down would likely occur in the fall and last for ten days or less. The state funding considerations and the priorities may vary based on the time of year and the corresponding recreational assets that will be opened at that time.</w:t>
      </w:r>
    </w:p>
    <w:p w14:paraId="6CDDFE9D" w14:textId="77777777" w:rsidR="00CA5B77" w:rsidRPr="00681603" w:rsidRDefault="00CA5B77" w:rsidP="00CA5B77">
      <w:pPr>
        <w:widowControl/>
        <w:suppressAutoHyphens/>
        <w:autoSpaceDE/>
        <w:autoSpaceDN/>
        <w:adjustRightInd/>
        <w:rPr>
          <w:sz w:val="18"/>
        </w:rPr>
      </w:pPr>
    </w:p>
    <w:p w14:paraId="1B7DBE08" w14:textId="77777777" w:rsidR="00CA5B77" w:rsidRPr="00681603" w:rsidRDefault="00CA5B77" w:rsidP="00CA5B77">
      <w:pPr>
        <w:widowControl/>
        <w:suppressAutoHyphens/>
        <w:autoSpaceDE/>
        <w:autoSpaceDN/>
        <w:adjustRightInd/>
        <w:rPr>
          <w:sz w:val="18"/>
        </w:rPr>
      </w:pPr>
      <w:r w:rsidRPr="00681603">
        <w:rPr>
          <w:b/>
          <w:bCs/>
          <w:sz w:val="18"/>
          <w:szCs w:val="18"/>
        </w:rPr>
        <w:t>KEY:  federal lands, federal shutdown, fiscal emergency</w:t>
      </w:r>
    </w:p>
    <w:p w14:paraId="41EFE916" w14:textId="45B71108" w:rsidR="00CA5B77" w:rsidRPr="00681603" w:rsidRDefault="00CA5B77" w:rsidP="00CA5B77">
      <w:pPr>
        <w:widowControl/>
        <w:suppressAutoHyphens/>
        <w:autoSpaceDE/>
        <w:autoSpaceDN/>
        <w:adjustRightInd/>
        <w:rPr>
          <w:bCs/>
          <w:sz w:val="18"/>
          <w:szCs w:val="18"/>
        </w:rPr>
      </w:pPr>
      <w:r w:rsidRPr="00681603">
        <w:rPr>
          <w:b/>
          <w:bCs/>
          <w:sz w:val="18"/>
          <w:szCs w:val="18"/>
        </w:rPr>
        <w:t xml:space="preserve">Date of Last Change:  </w:t>
      </w:r>
      <w:r w:rsidR="00DF52CA" w:rsidRPr="00681603">
        <w:rPr>
          <w:b/>
          <w:bCs/>
          <w:sz w:val="18"/>
          <w:szCs w:val="18"/>
        </w:rPr>
        <w:t xml:space="preserve">December 23, </w:t>
      </w:r>
      <w:r w:rsidRPr="00681603">
        <w:rPr>
          <w:b/>
          <w:bCs/>
          <w:sz w:val="18"/>
          <w:szCs w:val="18"/>
        </w:rPr>
        <w:t>2024</w:t>
      </w:r>
    </w:p>
    <w:p w14:paraId="2BCDC2F7" w14:textId="77777777" w:rsidR="00CA5B77" w:rsidRPr="00681603" w:rsidRDefault="00CA5B77" w:rsidP="00CA5B77">
      <w:pPr>
        <w:widowControl/>
        <w:suppressAutoHyphens/>
        <w:autoSpaceDE/>
        <w:autoSpaceDN/>
        <w:adjustRightInd/>
        <w:rPr>
          <w:sz w:val="18"/>
        </w:rPr>
      </w:pPr>
      <w:r w:rsidRPr="00681603">
        <w:rPr>
          <w:b/>
          <w:bCs/>
          <w:sz w:val="18"/>
          <w:szCs w:val="18"/>
        </w:rPr>
        <w:t>Authorizing, and Implemented or Interpreted Law:  79-4-1103</w:t>
      </w:r>
    </w:p>
    <w:p w14:paraId="0FBD4CA2" w14:textId="77777777" w:rsidR="00CA5B77" w:rsidRPr="00681603" w:rsidRDefault="00CA5B77" w:rsidP="00CA5B77">
      <w:pPr>
        <w:widowControl/>
        <w:suppressAutoHyphens/>
        <w:rPr>
          <w:sz w:val="18"/>
        </w:rPr>
      </w:pPr>
    </w:p>
    <w:p w14:paraId="5A76FABA" w14:textId="26F7AC45" w:rsidR="00682427" w:rsidRPr="00681603" w:rsidRDefault="00682427" w:rsidP="00CA5B77">
      <w:pPr>
        <w:widowControl/>
        <w:suppressAutoHyphens/>
        <w:rPr>
          <w:sz w:val="18"/>
        </w:rPr>
      </w:pPr>
    </w:p>
    <w:sectPr w:rsidR="00682427" w:rsidRPr="00681603" w:rsidSect="0068160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65641" w14:textId="77777777" w:rsidR="001D04EB" w:rsidRDefault="001D04EB" w:rsidP="00C17968">
      <w:r>
        <w:separator/>
      </w:r>
    </w:p>
  </w:endnote>
  <w:endnote w:type="continuationSeparator" w:id="0">
    <w:p w14:paraId="4662ADB3" w14:textId="77777777" w:rsidR="001D04EB" w:rsidRDefault="001D04E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EAC78" w14:textId="77777777" w:rsidR="001D04EB" w:rsidRDefault="001D04EB" w:rsidP="00C17968">
      <w:r>
        <w:separator/>
      </w:r>
    </w:p>
  </w:footnote>
  <w:footnote w:type="continuationSeparator" w:id="0">
    <w:p w14:paraId="74EDC3F8" w14:textId="77777777" w:rsidR="001D04EB" w:rsidRDefault="001D04E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77D1"/>
    <w:rsid w:val="00027A64"/>
    <w:rsid w:val="0003198B"/>
    <w:rsid w:val="00047CFB"/>
    <w:rsid w:val="00050AB6"/>
    <w:rsid w:val="0005628D"/>
    <w:rsid w:val="00066028"/>
    <w:rsid w:val="00083289"/>
    <w:rsid w:val="00086A4C"/>
    <w:rsid w:val="00092D64"/>
    <w:rsid w:val="000A63C1"/>
    <w:rsid w:val="000A744B"/>
    <w:rsid w:val="000B0C8F"/>
    <w:rsid w:val="000C31B1"/>
    <w:rsid w:val="000C3C78"/>
    <w:rsid w:val="000E034A"/>
    <w:rsid w:val="000E7CDD"/>
    <w:rsid w:val="00101FCF"/>
    <w:rsid w:val="00102BB0"/>
    <w:rsid w:val="001057E7"/>
    <w:rsid w:val="00114EBD"/>
    <w:rsid w:val="00124472"/>
    <w:rsid w:val="001366D8"/>
    <w:rsid w:val="00136C69"/>
    <w:rsid w:val="00136E6B"/>
    <w:rsid w:val="00140B4F"/>
    <w:rsid w:val="00151B36"/>
    <w:rsid w:val="001769DF"/>
    <w:rsid w:val="0018100B"/>
    <w:rsid w:val="001956B2"/>
    <w:rsid w:val="001A795C"/>
    <w:rsid w:val="001B1B40"/>
    <w:rsid w:val="001C3DAB"/>
    <w:rsid w:val="001D04EB"/>
    <w:rsid w:val="001F78BA"/>
    <w:rsid w:val="00210E2C"/>
    <w:rsid w:val="00214BA0"/>
    <w:rsid w:val="00250B69"/>
    <w:rsid w:val="00253C3B"/>
    <w:rsid w:val="00256032"/>
    <w:rsid w:val="002639EB"/>
    <w:rsid w:val="00266359"/>
    <w:rsid w:val="00272D20"/>
    <w:rsid w:val="00282CAA"/>
    <w:rsid w:val="00291DCA"/>
    <w:rsid w:val="00296B2B"/>
    <w:rsid w:val="00297523"/>
    <w:rsid w:val="002A0034"/>
    <w:rsid w:val="002B5227"/>
    <w:rsid w:val="002B721A"/>
    <w:rsid w:val="002C31EE"/>
    <w:rsid w:val="002D4474"/>
    <w:rsid w:val="002E6F38"/>
    <w:rsid w:val="002F45BF"/>
    <w:rsid w:val="00303F0A"/>
    <w:rsid w:val="003121D3"/>
    <w:rsid w:val="00316A41"/>
    <w:rsid w:val="003217E6"/>
    <w:rsid w:val="00321E0E"/>
    <w:rsid w:val="00335956"/>
    <w:rsid w:val="0033622C"/>
    <w:rsid w:val="00342459"/>
    <w:rsid w:val="00373FE5"/>
    <w:rsid w:val="00380D52"/>
    <w:rsid w:val="003B6116"/>
    <w:rsid w:val="003D4DC0"/>
    <w:rsid w:val="003D601B"/>
    <w:rsid w:val="003E6785"/>
    <w:rsid w:val="003F0822"/>
    <w:rsid w:val="003F64A7"/>
    <w:rsid w:val="003F6A4F"/>
    <w:rsid w:val="00402912"/>
    <w:rsid w:val="00403755"/>
    <w:rsid w:val="00414E0D"/>
    <w:rsid w:val="00430473"/>
    <w:rsid w:val="004423A3"/>
    <w:rsid w:val="00457B35"/>
    <w:rsid w:val="00462360"/>
    <w:rsid w:val="00465A08"/>
    <w:rsid w:val="0047176D"/>
    <w:rsid w:val="004803F6"/>
    <w:rsid w:val="004A031A"/>
    <w:rsid w:val="004B7F3B"/>
    <w:rsid w:val="004C20EA"/>
    <w:rsid w:val="004C4015"/>
    <w:rsid w:val="004D328F"/>
    <w:rsid w:val="00516E14"/>
    <w:rsid w:val="00550F3B"/>
    <w:rsid w:val="00551480"/>
    <w:rsid w:val="005556D4"/>
    <w:rsid w:val="00563DBC"/>
    <w:rsid w:val="0057263E"/>
    <w:rsid w:val="005732E8"/>
    <w:rsid w:val="00574132"/>
    <w:rsid w:val="00583378"/>
    <w:rsid w:val="005878C3"/>
    <w:rsid w:val="005879FB"/>
    <w:rsid w:val="00590D6C"/>
    <w:rsid w:val="00594E8B"/>
    <w:rsid w:val="005960C4"/>
    <w:rsid w:val="005A463F"/>
    <w:rsid w:val="005A6E0E"/>
    <w:rsid w:val="005A7398"/>
    <w:rsid w:val="005B4EE0"/>
    <w:rsid w:val="005C024A"/>
    <w:rsid w:val="005D674B"/>
    <w:rsid w:val="005D6A7E"/>
    <w:rsid w:val="005E736D"/>
    <w:rsid w:val="005F3734"/>
    <w:rsid w:val="005F7305"/>
    <w:rsid w:val="00617D1E"/>
    <w:rsid w:val="006271F8"/>
    <w:rsid w:val="00631C68"/>
    <w:rsid w:val="006431BE"/>
    <w:rsid w:val="00646433"/>
    <w:rsid w:val="00646E1C"/>
    <w:rsid w:val="006604BD"/>
    <w:rsid w:val="006661C3"/>
    <w:rsid w:val="006667C3"/>
    <w:rsid w:val="00681603"/>
    <w:rsid w:val="00682427"/>
    <w:rsid w:val="0069040D"/>
    <w:rsid w:val="006936DF"/>
    <w:rsid w:val="006A3F24"/>
    <w:rsid w:val="006A7D14"/>
    <w:rsid w:val="006B70AF"/>
    <w:rsid w:val="006C0AE5"/>
    <w:rsid w:val="006D167F"/>
    <w:rsid w:val="007047A1"/>
    <w:rsid w:val="00713104"/>
    <w:rsid w:val="00715301"/>
    <w:rsid w:val="00716F7B"/>
    <w:rsid w:val="007231FC"/>
    <w:rsid w:val="00723BDF"/>
    <w:rsid w:val="00736DC2"/>
    <w:rsid w:val="00753C35"/>
    <w:rsid w:val="007556B6"/>
    <w:rsid w:val="007613E9"/>
    <w:rsid w:val="00762BDA"/>
    <w:rsid w:val="00772653"/>
    <w:rsid w:val="00793E4B"/>
    <w:rsid w:val="00796BA5"/>
    <w:rsid w:val="007A1FEA"/>
    <w:rsid w:val="007B6C82"/>
    <w:rsid w:val="007C18FA"/>
    <w:rsid w:val="007D0B87"/>
    <w:rsid w:val="007D1F9D"/>
    <w:rsid w:val="007F3DED"/>
    <w:rsid w:val="007F5D97"/>
    <w:rsid w:val="007F7922"/>
    <w:rsid w:val="00815B0B"/>
    <w:rsid w:val="00830399"/>
    <w:rsid w:val="008315F8"/>
    <w:rsid w:val="00835660"/>
    <w:rsid w:val="00840B24"/>
    <w:rsid w:val="00844B36"/>
    <w:rsid w:val="008637F2"/>
    <w:rsid w:val="008705CB"/>
    <w:rsid w:val="008829AB"/>
    <w:rsid w:val="00890A1F"/>
    <w:rsid w:val="008B0B8A"/>
    <w:rsid w:val="008C565A"/>
    <w:rsid w:val="008D6C4B"/>
    <w:rsid w:val="008E7D9B"/>
    <w:rsid w:val="00911A79"/>
    <w:rsid w:val="00912ABF"/>
    <w:rsid w:val="009174AF"/>
    <w:rsid w:val="009226D8"/>
    <w:rsid w:val="00922D61"/>
    <w:rsid w:val="009279FD"/>
    <w:rsid w:val="009510CD"/>
    <w:rsid w:val="009514AC"/>
    <w:rsid w:val="00961169"/>
    <w:rsid w:val="00964E49"/>
    <w:rsid w:val="00980EB8"/>
    <w:rsid w:val="0099724C"/>
    <w:rsid w:val="009A2A78"/>
    <w:rsid w:val="009B5790"/>
    <w:rsid w:val="009C0017"/>
    <w:rsid w:val="009C2A6A"/>
    <w:rsid w:val="009E5ABD"/>
    <w:rsid w:val="00A0145C"/>
    <w:rsid w:val="00A04093"/>
    <w:rsid w:val="00A07A42"/>
    <w:rsid w:val="00A10B41"/>
    <w:rsid w:val="00A2194C"/>
    <w:rsid w:val="00A2684B"/>
    <w:rsid w:val="00A41D37"/>
    <w:rsid w:val="00A5125F"/>
    <w:rsid w:val="00A52209"/>
    <w:rsid w:val="00A6312E"/>
    <w:rsid w:val="00A65BF0"/>
    <w:rsid w:val="00A93EFE"/>
    <w:rsid w:val="00AA649A"/>
    <w:rsid w:val="00AB0BE0"/>
    <w:rsid w:val="00AB5714"/>
    <w:rsid w:val="00AC2734"/>
    <w:rsid w:val="00AC60A3"/>
    <w:rsid w:val="00AD5BF8"/>
    <w:rsid w:val="00AF1519"/>
    <w:rsid w:val="00B00962"/>
    <w:rsid w:val="00B0160D"/>
    <w:rsid w:val="00B05550"/>
    <w:rsid w:val="00B132A1"/>
    <w:rsid w:val="00B1423E"/>
    <w:rsid w:val="00B2206F"/>
    <w:rsid w:val="00B301CE"/>
    <w:rsid w:val="00B33858"/>
    <w:rsid w:val="00B41350"/>
    <w:rsid w:val="00B606F6"/>
    <w:rsid w:val="00B61024"/>
    <w:rsid w:val="00B62A8D"/>
    <w:rsid w:val="00B67C05"/>
    <w:rsid w:val="00B74F4D"/>
    <w:rsid w:val="00B974B0"/>
    <w:rsid w:val="00BC5E52"/>
    <w:rsid w:val="00BD38D5"/>
    <w:rsid w:val="00BE3DAE"/>
    <w:rsid w:val="00BE6E0F"/>
    <w:rsid w:val="00C03593"/>
    <w:rsid w:val="00C07C48"/>
    <w:rsid w:val="00C13DE5"/>
    <w:rsid w:val="00C17425"/>
    <w:rsid w:val="00C17968"/>
    <w:rsid w:val="00C17B64"/>
    <w:rsid w:val="00C2383B"/>
    <w:rsid w:val="00C339A4"/>
    <w:rsid w:val="00C4256B"/>
    <w:rsid w:val="00C42A03"/>
    <w:rsid w:val="00C475B6"/>
    <w:rsid w:val="00C67105"/>
    <w:rsid w:val="00C7075A"/>
    <w:rsid w:val="00C864C3"/>
    <w:rsid w:val="00CA2A17"/>
    <w:rsid w:val="00CA4226"/>
    <w:rsid w:val="00CA4306"/>
    <w:rsid w:val="00CA5B77"/>
    <w:rsid w:val="00CB214B"/>
    <w:rsid w:val="00CB47B6"/>
    <w:rsid w:val="00CC1DE2"/>
    <w:rsid w:val="00CC2F8D"/>
    <w:rsid w:val="00CD6B93"/>
    <w:rsid w:val="00CE4429"/>
    <w:rsid w:val="00CE4AB8"/>
    <w:rsid w:val="00CE4EB2"/>
    <w:rsid w:val="00CF36B3"/>
    <w:rsid w:val="00CF7EF5"/>
    <w:rsid w:val="00D01884"/>
    <w:rsid w:val="00D06A99"/>
    <w:rsid w:val="00D11BBD"/>
    <w:rsid w:val="00D222F2"/>
    <w:rsid w:val="00D22416"/>
    <w:rsid w:val="00D2400F"/>
    <w:rsid w:val="00D26D4A"/>
    <w:rsid w:val="00D31690"/>
    <w:rsid w:val="00D330D2"/>
    <w:rsid w:val="00D41554"/>
    <w:rsid w:val="00D41ABA"/>
    <w:rsid w:val="00D5338E"/>
    <w:rsid w:val="00D66564"/>
    <w:rsid w:val="00D76607"/>
    <w:rsid w:val="00D7747A"/>
    <w:rsid w:val="00D775BF"/>
    <w:rsid w:val="00D8725A"/>
    <w:rsid w:val="00D97919"/>
    <w:rsid w:val="00DA783E"/>
    <w:rsid w:val="00DC0B97"/>
    <w:rsid w:val="00DC51B5"/>
    <w:rsid w:val="00DD06C1"/>
    <w:rsid w:val="00DE4AAB"/>
    <w:rsid w:val="00DF52CA"/>
    <w:rsid w:val="00E0444E"/>
    <w:rsid w:val="00E06657"/>
    <w:rsid w:val="00E33057"/>
    <w:rsid w:val="00E33275"/>
    <w:rsid w:val="00E52C8D"/>
    <w:rsid w:val="00E536BE"/>
    <w:rsid w:val="00E62DBC"/>
    <w:rsid w:val="00E71631"/>
    <w:rsid w:val="00E71E51"/>
    <w:rsid w:val="00E91C27"/>
    <w:rsid w:val="00E945AC"/>
    <w:rsid w:val="00EB0212"/>
    <w:rsid w:val="00EB2D9C"/>
    <w:rsid w:val="00EB3D35"/>
    <w:rsid w:val="00EC01D2"/>
    <w:rsid w:val="00EC6438"/>
    <w:rsid w:val="00EC7C9D"/>
    <w:rsid w:val="00EE6D3C"/>
    <w:rsid w:val="00F1268F"/>
    <w:rsid w:val="00F136AB"/>
    <w:rsid w:val="00F278A7"/>
    <w:rsid w:val="00F31687"/>
    <w:rsid w:val="00F35997"/>
    <w:rsid w:val="00F40EA6"/>
    <w:rsid w:val="00F42C14"/>
    <w:rsid w:val="00F54E4B"/>
    <w:rsid w:val="00F700BD"/>
    <w:rsid w:val="00F72AC8"/>
    <w:rsid w:val="00F82063"/>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25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571921">
      <w:bodyDiv w:val="1"/>
      <w:marLeft w:val="0"/>
      <w:marRight w:val="0"/>
      <w:marTop w:val="0"/>
      <w:marBottom w:val="0"/>
      <w:divBdr>
        <w:top w:val="none" w:sz="0" w:space="0" w:color="auto"/>
        <w:left w:val="none" w:sz="0" w:space="0" w:color="auto"/>
        <w:bottom w:val="none" w:sz="0" w:space="0" w:color="auto"/>
        <w:right w:val="none" w:sz="0" w:space="0" w:color="auto"/>
      </w:divBdr>
    </w:div>
    <w:div w:id="286744163">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650717236">
      <w:bodyDiv w:val="1"/>
      <w:marLeft w:val="0"/>
      <w:marRight w:val="0"/>
      <w:marTop w:val="0"/>
      <w:marBottom w:val="0"/>
      <w:divBdr>
        <w:top w:val="none" w:sz="0" w:space="0" w:color="auto"/>
        <w:left w:val="none" w:sz="0" w:space="0" w:color="auto"/>
        <w:bottom w:val="none" w:sz="0" w:space="0" w:color="auto"/>
        <w:right w:val="none" w:sz="0" w:space="0" w:color="auto"/>
      </w:divBdr>
    </w:div>
    <w:div w:id="852692929">
      <w:bodyDiv w:val="1"/>
      <w:marLeft w:val="0"/>
      <w:marRight w:val="0"/>
      <w:marTop w:val="0"/>
      <w:marBottom w:val="0"/>
      <w:divBdr>
        <w:top w:val="none" w:sz="0" w:space="0" w:color="auto"/>
        <w:left w:val="none" w:sz="0" w:space="0" w:color="auto"/>
        <w:bottom w:val="none" w:sz="0" w:space="0" w:color="auto"/>
        <w:right w:val="none" w:sz="0" w:space="0" w:color="auto"/>
      </w:divBdr>
    </w:div>
    <w:div w:id="871498486">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84435225">
      <w:bodyDiv w:val="1"/>
      <w:marLeft w:val="0"/>
      <w:marRight w:val="0"/>
      <w:marTop w:val="0"/>
      <w:marBottom w:val="0"/>
      <w:divBdr>
        <w:top w:val="none" w:sz="0" w:space="0" w:color="auto"/>
        <w:left w:val="none" w:sz="0" w:space="0" w:color="auto"/>
        <w:bottom w:val="none" w:sz="0" w:space="0" w:color="auto"/>
        <w:right w:val="none" w:sz="0" w:space="0" w:color="auto"/>
      </w:divBdr>
    </w:div>
    <w:div w:id="1561087322">
      <w:bodyDiv w:val="1"/>
      <w:marLeft w:val="0"/>
      <w:marRight w:val="0"/>
      <w:marTop w:val="0"/>
      <w:marBottom w:val="0"/>
      <w:divBdr>
        <w:top w:val="none" w:sz="0" w:space="0" w:color="auto"/>
        <w:left w:val="none" w:sz="0" w:space="0" w:color="auto"/>
        <w:bottom w:val="none" w:sz="0" w:space="0" w:color="auto"/>
        <w:right w:val="none" w:sz="0" w:space="0" w:color="auto"/>
      </w:divBdr>
    </w:div>
    <w:div w:id="174348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2024-12-23T16:04:00Z</dcterms:created>
  <dcterms:modified xsi:type="dcterms:W3CDTF">2024-12-23T16:04:00Z</dcterms:modified>
</cp:coreProperties>
</file>