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3936ED" w14:textId="77777777" w:rsidR="00EE5182" w:rsidRPr="002C3E0F" w:rsidRDefault="00EE5182" w:rsidP="00EE5182">
      <w:pPr>
        <w:widowControl/>
        <w:suppressAutoHyphens/>
        <w:rPr>
          <w:bCs/>
          <w:sz w:val="18"/>
          <w:szCs w:val="18"/>
        </w:rPr>
      </w:pPr>
      <w:r w:rsidRPr="002C3E0F">
        <w:rPr>
          <w:b/>
          <w:bCs/>
          <w:sz w:val="18"/>
          <w:szCs w:val="18"/>
        </w:rPr>
        <w:t>R988.  Workforce Services, Homeless Services.</w:t>
      </w:r>
    </w:p>
    <w:p w14:paraId="53FCFC89" w14:textId="77777777" w:rsidR="00EE5182" w:rsidRPr="002C3E0F" w:rsidRDefault="00EE5182" w:rsidP="00EE5182">
      <w:pPr>
        <w:widowControl/>
        <w:suppressAutoHyphens/>
        <w:autoSpaceDE/>
        <w:autoSpaceDN/>
        <w:adjustRightInd/>
        <w:rPr>
          <w:rFonts w:eastAsia="Aptos"/>
          <w:bCs/>
          <w:kern w:val="2"/>
          <w:sz w:val="18"/>
          <w:szCs w:val="18"/>
          <w14:ligatures w14:val="standardContextual"/>
        </w:rPr>
      </w:pPr>
      <w:r w:rsidRPr="002C3E0F">
        <w:rPr>
          <w:rFonts w:eastAsia="Aptos"/>
          <w:b/>
          <w:bCs/>
          <w:kern w:val="2"/>
          <w:sz w:val="18"/>
          <w:szCs w:val="18"/>
          <w14:ligatures w14:val="standardContextual"/>
        </w:rPr>
        <w:t>R988-100.  Homeless Services General Provisions.</w:t>
      </w:r>
    </w:p>
    <w:p w14:paraId="2B70F6D4" w14:textId="77777777" w:rsidR="00EE5182" w:rsidRPr="002C3E0F" w:rsidRDefault="00EE5182" w:rsidP="00EE5182">
      <w:pPr>
        <w:widowControl/>
        <w:suppressAutoHyphens/>
        <w:autoSpaceDE/>
        <w:autoSpaceDN/>
        <w:adjustRightInd/>
        <w:rPr>
          <w:rFonts w:eastAsia="Aptos"/>
          <w:bCs/>
          <w:kern w:val="2"/>
          <w:sz w:val="18"/>
          <w:szCs w:val="18"/>
          <w14:ligatures w14:val="standardContextual"/>
        </w:rPr>
      </w:pPr>
      <w:r w:rsidRPr="002C3E0F">
        <w:rPr>
          <w:rFonts w:eastAsia="Aptos"/>
          <w:b/>
          <w:bCs/>
          <w:kern w:val="2"/>
          <w:sz w:val="18"/>
          <w:szCs w:val="18"/>
          <w14:ligatures w14:val="standardContextual"/>
        </w:rPr>
        <w:t>R988-100-1.  Authority.</w:t>
      </w:r>
    </w:p>
    <w:p w14:paraId="27B9DB70"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This rule is authorized under Section 35A-16-202, which directs the office to define terms, and Section 35A-16-205.1, which requires the board to establish standards for the prioritization of homeless shelter beds.</w:t>
      </w:r>
    </w:p>
    <w:p w14:paraId="202428E9"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p>
    <w:p w14:paraId="26424897" w14:textId="77777777" w:rsidR="00EE5182" w:rsidRPr="002C3E0F" w:rsidRDefault="00EE5182" w:rsidP="00EE5182">
      <w:pPr>
        <w:widowControl/>
        <w:suppressAutoHyphens/>
        <w:autoSpaceDE/>
        <w:autoSpaceDN/>
        <w:adjustRightInd/>
        <w:rPr>
          <w:rFonts w:eastAsia="Aptos"/>
          <w:bCs/>
          <w:kern w:val="2"/>
          <w:sz w:val="18"/>
          <w:szCs w:val="18"/>
          <w14:ligatures w14:val="standardContextual"/>
        </w:rPr>
      </w:pPr>
      <w:r w:rsidRPr="002C3E0F">
        <w:rPr>
          <w:rFonts w:eastAsia="Aptos"/>
          <w:b/>
          <w:bCs/>
          <w:kern w:val="2"/>
          <w:sz w:val="18"/>
          <w:szCs w:val="18"/>
          <w14:ligatures w14:val="standardContextual"/>
        </w:rPr>
        <w:t>R988-100-2.  Definitions.</w:t>
      </w:r>
    </w:p>
    <w:p w14:paraId="57E78971"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(1)  Terms used in this rule are defined in Title 35A, Chapter 1, Department of Workforce Services, Title 35A, Chapter 16, Office of Homeless Services, and Section 26B-5-301.</w:t>
      </w:r>
    </w:p>
    <w:p w14:paraId="6890A3EB"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(2)  In addition:</w:t>
      </w:r>
    </w:p>
    <w:p w14:paraId="0FED4F7B"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(a)  "Neutral exit" means minimal progress was made toward improving the stability of a client's housing or addressing issues that may make the client more likely to experience homelessness.</w:t>
      </w:r>
    </w:p>
    <w:p w14:paraId="1E0EE4BF"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(b)  "Successful exit" means significant progress was made toward improving the stability of a client's housing or addressing issues that may make the client more likely to experience homelessness.</w:t>
      </w:r>
    </w:p>
    <w:p w14:paraId="3C6A3CAB"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(c)  "TANF" means Temporary Assistance for Needy Families.</w:t>
      </w:r>
    </w:p>
    <w:p w14:paraId="52A63853"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(d)  "Unsuccessful exit" means no progress was made toward improving the stability of the client's housing or addressing issues that may make the client more likely to experience homelessness.</w:t>
      </w:r>
    </w:p>
    <w:p w14:paraId="4DCB9793" w14:textId="77777777" w:rsidR="00EE5182" w:rsidRPr="002C3E0F" w:rsidRDefault="00EE5182" w:rsidP="00EE5182">
      <w:pPr>
        <w:widowControl/>
        <w:suppressAutoHyphens/>
        <w:autoSpaceDE/>
        <w:autoSpaceDN/>
        <w:adjustRightInd/>
        <w:rPr>
          <w:rFonts w:eastAsia="Aptos"/>
          <w:bCs/>
          <w:kern w:val="2"/>
          <w:sz w:val="18"/>
          <w:szCs w:val="18"/>
          <w14:ligatures w14:val="standardContextual"/>
        </w:rPr>
      </w:pPr>
    </w:p>
    <w:p w14:paraId="1682D0ED" w14:textId="77777777" w:rsidR="00EE5182" w:rsidRPr="002C3E0F" w:rsidRDefault="00EE5182" w:rsidP="00EE5182">
      <w:pPr>
        <w:widowControl/>
        <w:suppressAutoHyphens/>
        <w:autoSpaceDE/>
        <w:autoSpaceDN/>
        <w:adjustRightInd/>
        <w:rPr>
          <w:rFonts w:eastAsia="Aptos"/>
          <w:bCs/>
          <w:kern w:val="2"/>
          <w:sz w:val="18"/>
          <w:szCs w:val="18"/>
          <w14:ligatures w14:val="standardContextual"/>
        </w:rPr>
      </w:pPr>
      <w:r w:rsidRPr="002C3E0F">
        <w:rPr>
          <w:rFonts w:eastAsia="Aptos"/>
          <w:b/>
          <w:bCs/>
          <w:kern w:val="2"/>
          <w:sz w:val="18"/>
          <w:szCs w:val="18"/>
          <w14:ligatures w14:val="standardContextual"/>
        </w:rPr>
        <w:t>R988-100-3.  Exit Destination Outcomes.</w:t>
      </w:r>
    </w:p>
    <w:p w14:paraId="3395C481"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(1)  OHS will ensure compliance with the U.S. Department of Housing and Urban Development system performance measures.  Exit outcomes will be evaluated using the last exit recorded in HMIS for an individual to ensure the greatest degree of accuracy and timeliness possible, and to avoid duplication, across the following project types:</w:t>
      </w:r>
    </w:p>
    <w:p w14:paraId="13A04961"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(a)  emergency shelter;</w:t>
      </w:r>
    </w:p>
    <w:p w14:paraId="072BD0C7"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(b)  rapid rehousing;</w:t>
      </w:r>
    </w:p>
    <w:p w14:paraId="36F52129"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(c)  transitional housing;</w:t>
      </w:r>
    </w:p>
    <w:p w14:paraId="7505E494"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(d)  permanent supportive housing;</w:t>
      </w:r>
    </w:p>
    <w:p w14:paraId="7E1EF4ED"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(e)  street outreach;</w:t>
      </w:r>
    </w:p>
    <w:p w14:paraId="04A72F59"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(f)  homeless prevention; and</w:t>
      </w:r>
    </w:p>
    <w:p w14:paraId="1CD01791"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(g)  other.</w:t>
      </w:r>
    </w:p>
    <w:p w14:paraId="7624CBEC"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(2)  The office will evaluate each standard exit destination type recorded in HMIS to determine if the outcome type meets the definition of successful, neutral, or unsuccessful exit in Section R988-100-2.</w:t>
      </w:r>
    </w:p>
    <w:p w14:paraId="7CB00A0D"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(3)  The office will provide guidance to service providers regarding standard exit destination types in HMIS that the office has determined meet the definitions in Section R988-100-2.</w:t>
      </w:r>
    </w:p>
    <w:p w14:paraId="087E9587"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p>
    <w:p w14:paraId="7B3B18CE" w14:textId="77777777" w:rsidR="00EE5182" w:rsidRPr="002C3E0F" w:rsidRDefault="00EE5182" w:rsidP="00EE5182">
      <w:pPr>
        <w:widowControl/>
        <w:suppressAutoHyphens/>
        <w:autoSpaceDE/>
        <w:autoSpaceDN/>
        <w:adjustRightInd/>
        <w:rPr>
          <w:rFonts w:eastAsia="Aptos"/>
          <w:bCs/>
          <w:kern w:val="2"/>
          <w:sz w:val="18"/>
          <w:szCs w:val="18"/>
          <w14:ligatures w14:val="standardContextual"/>
        </w:rPr>
      </w:pPr>
      <w:r w:rsidRPr="002C3E0F">
        <w:rPr>
          <w:rFonts w:eastAsia="Aptos"/>
          <w:b/>
          <w:bCs/>
          <w:kern w:val="2"/>
          <w:sz w:val="18"/>
          <w:szCs w:val="18"/>
          <w14:ligatures w14:val="standardContextual"/>
        </w:rPr>
        <w:t>R988-100-4.  Temporary Assistance for Needy Families Bed Prioritization.</w:t>
      </w:r>
    </w:p>
    <w:p w14:paraId="2533A2F4"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(1)  An emergency shelter that receives TANF funding for shelter operations shall:</w:t>
      </w:r>
    </w:p>
    <w:p w14:paraId="48FF37E4"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(a)  subject to available funding, allocate an average of 85% of the total number of beds located in the shelter to individuals eligible for TANF;</w:t>
      </w:r>
    </w:p>
    <w:p w14:paraId="02100A16"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(b)  determine prioritization for beds based on TANF eligibility requirements; and</w:t>
      </w:r>
    </w:p>
    <w:p w14:paraId="3C5FA2D1"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(c)  follow department eligibility determination processes.</w:t>
      </w:r>
    </w:p>
    <w:p w14:paraId="3BF607F1"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(2)  If an emergency shelter does not receive TANF funding for shelter operations, the office, in coordination with the shelter operator, will determine the feasibility of verifying the TANF eligibility of a shelter user.</w:t>
      </w:r>
    </w:p>
    <w:p w14:paraId="689B7520"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p>
    <w:p w14:paraId="2EE93EE4" w14:textId="77777777" w:rsidR="00EE5182" w:rsidRPr="002C3E0F" w:rsidRDefault="00EE5182" w:rsidP="00EE5182">
      <w:pPr>
        <w:widowControl/>
        <w:suppressAutoHyphens/>
        <w:autoSpaceDE/>
        <w:autoSpaceDN/>
        <w:adjustRightInd/>
        <w:rPr>
          <w:rFonts w:eastAsia="Aptos"/>
          <w:bCs/>
          <w:kern w:val="2"/>
          <w:sz w:val="18"/>
          <w:szCs w:val="18"/>
          <w14:ligatures w14:val="standardContextual"/>
        </w:rPr>
      </w:pPr>
      <w:r w:rsidRPr="002C3E0F">
        <w:rPr>
          <w:rFonts w:eastAsia="Aptos"/>
          <w:b/>
          <w:bCs/>
          <w:kern w:val="2"/>
          <w:sz w:val="18"/>
          <w:szCs w:val="18"/>
          <w14:ligatures w14:val="standardContextual"/>
        </w:rPr>
        <w:t>R988-100-5.  State Hospital Shelter Bed Prioritization.</w:t>
      </w:r>
    </w:p>
    <w:p w14:paraId="451E8ABE"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(1)  An emergency shelter shall prioritize a referral client who is discharged from the state hospital.</w:t>
      </w:r>
    </w:p>
    <w:p w14:paraId="3FBD73AA"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(2)(</w:t>
      </w:r>
      <w:proofErr w:type="gramStart"/>
      <w:r w:rsidRPr="002C3E0F">
        <w:rPr>
          <w:rFonts w:eastAsia="Aptos"/>
          <w:kern w:val="2"/>
          <w:sz w:val="18"/>
          <w:szCs w:val="18"/>
          <w14:ligatures w14:val="standardContextual"/>
        </w:rPr>
        <w:t>a)  At</w:t>
      </w:r>
      <w:proofErr w:type="gramEnd"/>
      <w:r w:rsidRPr="002C3E0F">
        <w:rPr>
          <w:rFonts w:eastAsia="Aptos"/>
          <w:kern w:val="2"/>
          <w:sz w:val="18"/>
          <w:szCs w:val="18"/>
          <w14:ligatures w14:val="standardContextual"/>
        </w:rPr>
        <w:t xml:space="preserve"> least yearly, the office shall contact the state hospital about the state hospital's client discharge process.</w:t>
      </w:r>
    </w:p>
    <w:p w14:paraId="620B1606"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(b)  The office shall encourage the state hospital to coordinate with the local mental health authority, as applicable, to ensure that:</w:t>
      </w:r>
    </w:p>
    <w:p w14:paraId="5E58D924"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(i)  discharge to an emergency shelter is an appropriate exit for the client; and</w:t>
      </w:r>
    </w:p>
    <w:p w14:paraId="118F28AD"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(ii)  all other options for the client have been exhausted.</w:t>
      </w:r>
    </w:p>
    <w:p w14:paraId="3C182C38"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kern w:val="2"/>
          <w:sz w:val="18"/>
          <w:szCs w:val="18"/>
          <w14:ligatures w14:val="standardContextual"/>
        </w:rPr>
        <w:tab/>
        <w:t>(3)  When accepting a referral client from the state hospital, the emergency shelter operator shall document the referral from the state hospital in HMIS.</w:t>
      </w:r>
    </w:p>
    <w:p w14:paraId="0665431A"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p>
    <w:p w14:paraId="75CBFF5A"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b/>
          <w:kern w:val="2"/>
          <w:sz w:val="18"/>
          <w:szCs w:val="18"/>
          <w14:ligatures w14:val="standardContextual"/>
        </w:rPr>
        <w:t>KEY:  homelessness, homeless shelter</w:t>
      </w:r>
    </w:p>
    <w:p w14:paraId="2E1027C4" w14:textId="7701277A"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b/>
          <w:kern w:val="2"/>
          <w:sz w:val="18"/>
          <w:szCs w:val="18"/>
          <w14:ligatures w14:val="standardContextual"/>
        </w:rPr>
        <w:t xml:space="preserve">Date of Last Change:  </w:t>
      </w:r>
      <w:r w:rsidR="003A6141" w:rsidRPr="002C3E0F">
        <w:rPr>
          <w:rFonts w:eastAsia="Aptos"/>
          <w:b/>
          <w:kern w:val="2"/>
          <w:sz w:val="18"/>
          <w:szCs w:val="18"/>
          <w14:ligatures w14:val="standardContextual"/>
        </w:rPr>
        <w:t xml:space="preserve">December 26, </w:t>
      </w:r>
      <w:r w:rsidRPr="002C3E0F">
        <w:rPr>
          <w:rFonts w:eastAsia="Aptos"/>
          <w:b/>
          <w:kern w:val="2"/>
          <w:sz w:val="18"/>
          <w:szCs w:val="18"/>
          <w14:ligatures w14:val="standardContextual"/>
        </w:rPr>
        <w:t>2024</w:t>
      </w:r>
    </w:p>
    <w:p w14:paraId="3CD25EA6" w14:textId="77777777" w:rsidR="00EE5182" w:rsidRPr="002C3E0F" w:rsidRDefault="00EE5182" w:rsidP="00EE5182">
      <w:pPr>
        <w:widowControl/>
        <w:suppressAutoHyphens/>
        <w:autoSpaceDE/>
        <w:autoSpaceDN/>
        <w:adjustRightInd/>
        <w:rPr>
          <w:rFonts w:eastAsia="Aptos"/>
          <w:kern w:val="2"/>
          <w:sz w:val="18"/>
          <w:szCs w:val="18"/>
          <w14:ligatures w14:val="standardContextual"/>
        </w:rPr>
      </w:pPr>
      <w:r w:rsidRPr="002C3E0F">
        <w:rPr>
          <w:rFonts w:eastAsia="Aptos"/>
          <w:b/>
          <w:kern w:val="2"/>
          <w:sz w:val="18"/>
          <w:szCs w:val="18"/>
          <w14:ligatures w14:val="standardContextual"/>
        </w:rPr>
        <w:t>Authorizing, and Implemented or Interpreted Law:  35A-16-202; 35A-16-205.1</w:t>
      </w:r>
    </w:p>
    <w:p w14:paraId="6D85D4FA" w14:textId="77777777" w:rsidR="00EE5182" w:rsidRPr="002C3E0F" w:rsidRDefault="00EE5182" w:rsidP="00EE5182">
      <w:pPr>
        <w:widowControl/>
        <w:suppressAutoHyphens/>
        <w:rPr>
          <w:sz w:val="18"/>
          <w:szCs w:val="18"/>
        </w:rPr>
      </w:pPr>
    </w:p>
    <w:p w14:paraId="1F11F23E" w14:textId="79936096" w:rsidR="00DA76F4" w:rsidRPr="002C3E0F" w:rsidRDefault="00DA76F4" w:rsidP="00EE5182">
      <w:pPr>
        <w:widowControl/>
        <w:suppressAutoHyphens/>
        <w:rPr>
          <w:rStyle w:val="s1"/>
          <w:spacing w:val="0"/>
          <w:sz w:val="18"/>
        </w:rPr>
      </w:pPr>
    </w:p>
    <w:sectPr w:rsidR="00DA76F4" w:rsidRPr="002C3E0F" w:rsidSect="002C3E0F">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5B202" w14:textId="77777777" w:rsidR="00434597" w:rsidRDefault="00434597" w:rsidP="00C17968">
      <w:r>
        <w:separator/>
      </w:r>
    </w:p>
  </w:endnote>
  <w:endnote w:type="continuationSeparator" w:id="0">
    <w:p w14:paraId="246EF815" w14:textId="77777777" w:rsidR="00434597" w:rsidRDefault="00434597"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0788D2" w14:textId="77777777" w:rsidR="00434597" w:rsidRDefault="00434597" w:rsidP="00C17968">
      <w:r>
        <w:separator/>
      </w:r>
    </w:p>
  </w:footnote>
  <w:footnote w:type="continuationSeparator" w:id="0">
    <w:p w14:paraId="34A5C7E6" w14:textId="77777777" w:rsidR="00434597" w:rsidRDefault="00434597"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46ED"/>
    <w:rsid w:val="0000533D"/>
    <w:rsid w:val="000069A9"/>
    <w:rsid w:val="00027A64"/>
    <w:rsid w:val="0003198B"/>
    <w:rsid w:val="00050AB6"/>
    <w:rsid w:val="0005628D"/>
    <w:rsid w:val="00057AC0"/>
    <w:rsid w:val="00065555"/>
    <w:rsid w:val="00083054"/>
    <w:rsid w:val="00083289"/>
    <w:rsid w:val="00086A4C"/>
    <w:rsid w:val="00086DAE"/>
    <w:rsid w:val="00092D64"/>
    <w:rsid w:val="000A63C1"/>
    <w:rsid w:val="000B0C8F"/>
    <w:rsid w:val="000B2CC1"/>
    <w:rsid w:val="000B588E"/>
    <w:rsid w:val="000C3C78"/>
    <w:rsid w:val="000C7FB7"/>
    <w:rsid w:val="000E034A"/>
    <w:rsid w:val="000E7CDD"/>
    <w:rsid w:val="00101FCF"/>
    <w:rsid w:val="00102BB0"/>
    <w:rsid w:val="00124472"/>
    <w:rsid w:val="00136C69"/>
    <w:rsid w:val="00136E6B"/>
    <w:rsid w:val="00140B4F"/>
    <w:rsid w:val="00151B36"/>
    <w:rsid w:val="001769DF"/>
    <w:rsid w:val="0018100B"/>
    <w:rsid w:val="001A78A9"/>
    <w:rsid w:val="001B1B40"/>
    <w:rsid w:val="001C3DAB"/>
    <w:rsid w:val="001F7264"/>
    <w:rsid w:val="001F78BA"/>
    <w:rsid w:val="00203E6F"/>
    <w:rsid w:val="00210E2C"/>
    <w:rsid w:val="00214BA0"/>
    <w:rsid w:val="00250B69"/>
    <w:rsid w:val="00253C3B"/>
    <w:rsid w:val="00256032"/>
    <w:rsid w:val="00260340"/>
    <w:rsid w:val="002639EB"/>
    <w:rsid w:val="00266359"/>
    <w:rsid w:val="00272D20"/>
    <w:rsid w:val="00282CAA"/>
    <w:rsid w:val="00291DCA"/>
    <w:rsid w:val="00296B2B"/>
    <w:rsid w:val="00297523"/>
    <w:rsid w:val="002A2AE5"/>
    <w:rsid w:val="002B5227"/>
    <w:rsid w:val="002B721A"/>
    <w:rsid w:val="002C31EE"/>
    <w:rsid w:val="002C3E0F"/>
    <w:rsid w:val="002D4474"/>
    <w:rsid w:val="002E17D8"/>
    <w:rsid w:val="002E6F38"/>
    <w:rsid w:val="002F45BF"/>
    <w:rsid w:val="003121D3"/>
    <w:rsid w:val="00314CFB"/>
    <w:rsid w:val="00316A41"/>
    <w:rsid w:val="003217E6"/>
    <w:rsid w:val="00335956"/>
    <w:rsid w:val="0033622C"/>
    <w:rsid w:val="00342459"/>
    <w:rsid w:val="00347D3F"/>
    <w:rsid w:val="00373FE5"/>
    <w:rsid w:val="00374C07"/>
    <w:rsid w:val="00380D52"/>
    <w:rsid w:val="003A6141"/>
    <w:rsid w:val="003B43D7"/>
    <w:rsid w:val="003B6116"/>
    <w:rsid w:val="003D601B"/>
    <w:rsid w:val="003E2935"/>
    <w:rsid w:val="003E6785"/>
    <w:rsid w:val="003F64A7"/>
    <w:rsid w:val="003F6A4F"/>
    <w:rsid w:val="003F6CF1"/>
    <w:rsid w:val="00402912"/>
    <w:rsid w:val="00403755"/>
    <w:rsid w:val="00403A13"/>
    <w:rsid w:val="0041303B"/>
    <w:rsid w:val="00414E0D"/>
    <w:rsid w:val="00430473"/>
    <w:rsid w:val="00434597"/>
    <w:rsid w:val="004423A3"/>
    <w:rsid w:val="00457B35"/>
    <w:rsid w:val="00462360"/>
    <w:rsid w:val="00465A08"/>
    <w:rsid w:val="004748F5"/>
    <w:rsid w:val="004803F6"/>
    <w:rsid w:val="004A031A"/>
    <w:rsid w:val="004A4005"/>
    <w:rsid w:val="004B7F3B"/>
    <w:rsid w:val="004C20EA"/>
    <w:rsid w:val="004C4015"/>
    <w:rsid w:val="004D328F"/>
    <w:rsid w:val="00516E14"/>
    <w:rsid w:val="00526FBF"/>
    <w:rsid w:val="00541128"/>
    <w:rsid w:val="00547546"/>
    <w:rsid w:val="00550F3B"/>
    <w:rsid w:val="00551480"/>
    <w:rsid w:val="005556C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2614"/>
    <w:rsid w:val="005D674B"/>
    <w:rsid w:val="005D6A7E"/>
    <w:rsid w:val="005E098F"/>
    <w:rsid w:val="005E18B5"/>
    <w:rsid w:val="005F7305"/>
    <w:rsid w:val="00617D1E"/>
    <w:rsid w:val="00631C68"/>
    <w:rsid w:val="006431BE"/>
    <w:rsid w:val="00646433"/>
    <w:rsid w:val="00646E1C"/>
    <w:rsid w:val="006604BD"/>
    <w:rsid w:val="006661C3"/>
    <w:rsid w:val="006667C3"/>
    <w:rsid w:val="00682427"/>
    <w:rsid w:val="0069040D"/>
    <w:rsid w:val="006936DF"/>
    <w:rsid w:val="006A3F24"/>
    <w:rsid w:val="006A53C6"/>
    <w:rsid w:val="006A7D14"/>
    <w:rsid w:val="006B70AF"/>
    <w:rsid w:val="006C1FFF"/>
    <w:rsid w:val="006D167F"/>
    <w:rsid w:val="006E3D79"/>
    <w:rsid w:val="007004BA"/>
    <w:rsid w:val="007047A1"/>
    <w:rsid w:val="00713104"/>
    <w:rsid w:val="00715301"/>
    <w:rsid w:val="00716F7B"/>
    <w:rsid w:val="007231FC"/>
    <w:rsid w:val="00723BDF"/>
    <w:rsid w:val="00736DC2"/>
    <w:rsid w:val="00753C35"/>
    <w:rsid w:val="007613E9"/>
    <w:rsid w:val="00762BDA"/>
    <w:rsid w:val="00772653"/>
    <w:rsid w:val="00796BA5"/>
    <w:rsid w:val="007A1FEA"/>
    <w:rsid w:val="007B6C82"/>
    <w:rsid w:val="007D0B87"/>
    <w:rsid w:val="007D1F9D"/>
    <w:rsid w:val="008266B0"/>
    <w:rsid w:val="008315F8"/>
    <w:rsid w:val="00835660"/>
    <w:rsid w:val="00840B24"/>
    <w:rsid w:val="00842C07"/>
    <w:rsid w:val="00844B36"/>
    <w:rsid w:val="008637F2"/>
    <w:rsid w:val="008705CB"/>
    <w:rsid w:val="008754D3"/>
    <w:rsid w:val="00877F43"/>
    <w:rsid w:val="008829AB"/>
    <w:rsid w:val="00890A1F"/>
    <w:rsid w:val="00893D27"/>
    <w:rsid w:val="008A0ECA"/>
    <w:rsid w:val="008B0B8A"/>
    <w:rsid w:val="008B5315"/>
    <w:rsid w:val="008D6C4B"/>
    <w:rsid w:val="008E7D9B"/>
    <w:rsid w:val="008F2AA1"/>
    <w:rsid w:val="009174AF"/>
    <w:rsid w:val="009226D8"/>
    <w:rsid w:val="00922D61"/>
    <w:rsid w:val="009279FD"/>
    <w:rsid w:val="009510CD"/>
    <w:rsid w:val="00964E49"/>
    <w:rsid w:val="00975E2F"/>
    <w:rsid w:val="00992E78"/>
    <w:rsid w:val="0099724C"/>
    <w:rsid w:val="009A1330"/>
    <w:rsid w:val="009A2A78"/>
    <w:rsid w:val="009B5790"/>
    <w:rsid w:val="009C0017"/>
    <w:rsid w:val="009C2A6A"/>
    <w:rsid w:val="009C6479"/>
    <w:rsid w:val="009E5ABD"/>
    <w:rsid w:val="00A0145C"/>
    <w:rsid w:val="00A2194C"/>
    <w:rsid w:val="00A2684B"/>
    <w:rsid w:val="00A41D37"/>
    <w:rsid w:val="00A52209"/>
    <w:rsid w:val="00A6312E"/>
    <w:rsid w:val="00A93EFE"/>
    <w:rsid w:val="00AA649A"/>
    <w:rsid w:val="00AB0BE0"/>
    <w:rsid w:val="00AB5714"/>
    <w:rsid w:val="00AC2734"/>
    <w:rsid w:val="00AC60A3"/>
    <w:rsid w:val="00AD5BF8"/>
    <w:rsid w:val="00AF1519"/>
    <w:rsid w:val="00B0160D"/>
    <w:rsid w:val="00B05550"/>
    <w:rsid w:val="00B132A1"/>
    <w:rsid w:val="00B1423E"/>
    <w:rsid w:val="00B15FDB"/>
    <w:rsid w:val="00B33858"/>
    <w:rsid w:val="00B41235"/>
    <w:rsid w:val="00B41350"/>
    <w:rsid w:val="00B606F6"/>
    <w:rsid w:val="00B61024"/>
    <w:rsid w:val="00B62A8D"/>
    <w:rsid w:val="00B67C05"/>
    <w:rsid w:val="00B904F5"/>
    <w:rsid w:val="00B974B0"/>
    <w:rsid w:val="00BA3A1A"/>
    <w:rsid w:val="00BC5E52"/>
    <w:rsid w:val="00BC7F45"/>
    <w:rsid w:val="00BD38D5"/>
    <w:rsid w:val="00BE6E0F"/>
    <w:rsid w:val="00C02BCC"/>
    <w:rsid w:val="00C07C48"/>
    <w:rsid w:val="00C17425"/>
    <w:rsid w:val="00C17968"/>
    <w:rsid w:val="00C17B64"/>
    <w:rsid w:val="00C2383B"/>
    <w:rsid w:val="00C339A4"/>
    <w:rsid w:val="00C3544C"/>
    <w:rsid w:val="00C4256B"/>
    <w:rsid w:val="00C42A03"/>
    <w:rsid w:val="00C475B6"/>
    <w:rsid w:val="00C62D34"/>
    <w:rsid w:val="00C67105"/>
    <w:rsid w:val="00C7075A"/>
    <w:rsid w:val="00C864C3"/>
    <w:rsid w:val="00C92F88"/>
    <w:rsid w:val="00CA2A17"/>
    <w:rsid w:val="00CA4226"/>
    <w:rsid w:val="00CA4306"/>
    <w:rsid w:val="00CB214B"/>
    <w:rsid w:val="00CC1DE2"/>
    <w:rsid w:val="00CC2F8D"/>
    <w:rsid w:val="00CD6B93"/>
    <w:rsid w:val="00CD7EC5"/>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A76F4"/>
    <w:rsid w:val="00DA783E"/>
    <w:rsid w:val="00DA7E0F"/>
    <w:rsid w:val="00DB2409"/>
    <w:rsid w:val="00DB6A8C"/>
    <w:rsid w:val="00DC0B97"/>
    <w:rsid w:val="00DC51B5"/>
    <w:rsid w:val="00DE4AAB"/>
    <w:rsid w:val="00E06657"/>
    <w:rsid w:val="00E30D55"/>
    <w:rsid w:val="00E33057"/>
    <w:rsid w:val="00E33275"/>
    <w:rsid w:val="00E52C8D"/>
    <w:rsid w:val="00E536BE"/>
    <w:rsid w:val="00E62DBC"/>
    <w:rsid w:val="00E71631"/>
    <w:rsid w:val="00E71E51"/>
    <w:rsid w:val="00E91C27"/>
    <w:rsid w:val="00E945AC"/>
    <w:rsid w:val="00EB0212"/>
    <w:rsid w:val="00EB3D35"/>
    <w:rsid w:val="00EC01D2"/>
    <w:rsid w:val="00EC7C9D"/>
    <w:rsid w:val="00ED5BCF"/>
    <w:rsid w:val="00EE5182"/>
    <w:rsid w:val="00EE6D3C"/>
    <w:rsid w:val="00F1268F"/>
    <w:rsid w:val="00F136AB"/>
    <w:rsid w:val="00F278A7"/>
    <w:rsid w:val="00F31687"/>
    <w:rsid w:val="00F35997"/>
    <w:rsid w:val="00F40EA6"/>
    <w:rsid w:val="00F42C14"/>
    <w:rsid w:val="00F46203"/>
    <w:rsid w:val="00F55175"/>
    <w:rsid w:val="00F700BD"/>
    <w:rsid w:val="00F72AC8"/>
    <w:rsid w:val="00F75BFA"/>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BD084-EE74-481D-8166-41723E7FF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552</Words>
  <Characters>3149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Brody Mangum</cp:lastModifiedBy>
  <cp:revision>2</cp:revision>
  <cp:lastPrinted>2019-10-24T15:39:00Z</cp:lastPrinted>
  <dcterms:created xsi:type="dcterms:W3CDTF">2025-01-03T02:57:00Z</dcterms:created>
  <dcterms:modified xsi:type="dcterms:W3CDTF">2025-01-03T02:57:00Z</dcterms:modified>
</cp:coreProperties>
</file>