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07682" w14:textId="718ECA8A" w:rsidR="001316CB" w:rsidRPr="007B1CC4" w:rsidRDefault="001316CB" w:rsidP="001316CB">
      <w:pPr>
        <w:widowControl/>
        <w:suppressAutoHyphens/>
        <w:rPr>
          <w:sz w:val="18"/>
        </w:rPr>
      </w:pPr>
      <w:r w:rsidRPr="007B1CC4">
        <w:rPr>
          <w:b/>
          <w:bCs/>
          <w:sz w:val="18"/>
        </w:rPr>
        <w:t>R66.  Agriculture and Food, Specialized Products.</w:t>
      </w:r>
    </w:p>
    <w:p w14:paraId="153F14A6" w14:textId="77777777" w:rsidR="001316CB" w:rsidRPr="007B1CC4" w:rsidRDefault="001316CB" w:rsidP="001316CB">
      <w:pPr>
        <w:widowControl/>
        <w:suppressAutoHyphens/>
        <w:rPr>
          <w:sz w:val="18"/>
        </w:rPr>
      </w:pPr>
      <w:r w:rsidRPr="007B1CC4">
        <w:rPr>
          <w:b/>
          <w:bCs/>
          <w:sz w:val="18"/>
        </w:rPr>
        <w:t>R66-10.  Closed-Door Medical Cannabis Pharmacy.</w:t>
      </w:r>
    </w:p>
    <w:p w14:paraId="3007D95B" w14:textId="77777777" w:rsidR="001316CB" w:rsidRPr="007B1CC4" w:rsidRDefault="001316CB" w:rsidP="001316CB">
      <w:pPr>
        <w:widowControl/>
        <w:suppressAutoHyphens/>
        <w:rPr>
          <w:sz w:val="18"/>
        </w:rPr>
      </w:pPr>
      <w:r w:rsidRPr="007B1CC4">
        <w:rPr>
          <w:b/>
          <w:bCs/>
          <w:sz w:val="18"/>
        </w:rPr>
        <w:t>R66-10-1.  Authority and Purpose.</w:t>
      </w:r>
    </w:p>
    <w:p w14:paraId="382A429D" w14:textId="0DFCFD15" w:rsidR="001316CB" w:rsidRPr="007B1CC4" w:rsidRDefault="001316CB" w:rsidP="001316CB">
      <w:pPr>
        <w:widowControl/>
        <w:suppressAutoHyphens/>
        <w:rPr>
          <w:sz w:val="18"/>
        </w:rPr>
      </w:pPr>
      <w:r w:rsidRPr="007B1CC4">
        <w:rPr>
          <w:sz w:val="18"/>
        </w:rPr>
        <w:tab/>
        <w:t>(1)  Subsections 4-41a-1206(10) and 4-2-103(1)(</w:t>
      </w:r>
      <w:proofErr w:type="spellStart"/>
      <w:r w:rsidRPr="007B1CC4">
        <w:rPr>
          <w:sz w:val="18"/>
        </w:rPr>
        <w:t>i</w:t>
      </w:r>
      <w:proofErr w:type="spellEnd"/>
      <w:r w:rsidRPr="007B1CC4">
        <w:rPr>
          <w:sz w:val="18"/>
        </w:rPr>
        <w:t>) authorize this rule.</w:t>
      </w:r>
    </w:p>
    <w:p w14:paraId="484A509C" w14:textId="3D85C64D" w:rsidR="001316CB" w:rsidRPr="007B1CC4" w:rsidRDefault="001316CB" w:rsidP="001316CB">
      <w:pPr>
        <w:widowControl/>
        <w:suppressAutoHyphens/>
        <w:rPr>
          <w:sz w:val="18"/>
        </w:rPr>
      </w:pPr>
      <w:r w:rsidRPr="007B1CC4">
        <w:rPr>
          <w:sz w:val="18"/>
        </w:rPr>
        <w:tab/>
        <w:t>(2)  This rule establishes operating and licensing requirements and standards for closed-door medical cannabis pharmacies and their employees.</w:t>
      </w:r>
    </w:p>
    <w:p w14:paraId="660346C3" w14:textId="77777777" w:rsidR="001316CB" w:rsidRPr="007B1CC4" w:rsidRDefault="001316CB" w:rsidP="001316CB">
      <w:pPr>
        <w:widowControl/>
        <w:suppressAutoHyphens/>
        <w:rPr>
          <w:sz w:val="18"/>
        </w:rPr>
      </w:pPr>
    </w:p>
    <w:p w14:paraId="26BE9BBB" w14:textId="77777777" w:rsidR="001316CB" w:rsidRPr="007B1CC4" w:rsidRDefault="001316CB" w:rsidP="001316CB">
      <w:pPr>
        <w:widowControl/>
        <w:suppressAutoHyphens/>
        <w:rPr>
          <w:sz w:val="18"/>
        </w:rPr>
      </w:pPr>
      <w:r w:rsidRPr="007B1CC4">
        <w:rPr>
          <w:b/>
          <w:bCs/>
          <w:sz w:val="18"/>
        </w:rPr>
        <w:t>R66-10-2.  Definitions.</w:t>
      </w:r>
    </w:p>
    <w:p w14:paraId="79691631" w14:textId="77777777" w:rsidR="001316CB" w:rsidRPr="007B1CC4" w:rsidRDefault="001316CB" w:rsidP="001316CB">
      <w:pPr>
        <w:widowControl/>
        <w:suppressAutoHyphens/>
        <w:rPr>
          <w:sz w:val="18"/>
        </w:rPr>
      </w:pPr>
      <w:r w:rsidRPr="007B1CC4">
        <w:rPr>
          <w:sz w:val="18"/>
        </w:rPr>
        <w:tab/>
        <w:t>(1)  "Cannabis waste" means cannabis product that is damaged, deteriorated, mislabeled, expired, returned, subject to a recall, or enclosed within a container or package that has been opened or breached.</w:t>
      </w:r>
    </w:p>
    <w:p w14:paraId="4F855E05" w14:textId="77777777" w:rsidR="001316CB" w:rsidRPr="007B1CC4" w:rsidRDefault="001316CB" w:rsidP="001316CB">
      <w:pPr>
        <w:widowControl/>
        <w:suppressAutoHyphens/>
        <w:rPr>
          <w:sz w:val="18"/>
        </w:rPr>
      </w:pPr>
      <w:r w:rsidRPr="007B1CC4">
        <w:rPr>
          <w:sz w:val="18"/>
        </w:rPr>
        <w:tab/>
        <w:t>(2)  "Card" means a medical cannabis card or registration card, authorized under Title 26B, Chapter 4, Part 2 Cannabinoid Research and Medical Cannabis.</w:t>
      </w:r>
    </w:p>
    <w:p w14:paraId="3B3E0B19" w14:textId="5015503D" w:rsidR="001316CB" w:rsidRPr="007B1CC4" w:rsidRDefault="001316CB" w:rsidP="001316CB">
      <w:pPr>
        <w:widowControl/>
        <w:suppressAutoHyphens/>
        <w:rPr>
          <w:sz w:val="18"/>
        </w:rPr>
      </w:pPr>
      <w:r w:rsidRPr="007B1CC4">
        <w:rPr>
          <w:sz w:val="18"/>
        </w:rPr>
        <w:tab/>
        <w:t>(3)  "DHHS" means The Utah Department of Health and Human Services.</w:t>
      </w:r>
    </w:p>
    <w:p w14:paraId="7D59DA6C" w14:textId="5CB40CF3" w:rsidR="001316CB" w:rsidRPr="007B1CC4" w:rsidRDefault="001316CB" w:rsidP="001316CB">
      <w:pPr>
        <w:widowControl/>
        <w:suppressAutoHyphens/>
        <w:rPr>
          <w:sz w:val="18"/>
        </w:rPr>
      </w:pPr>
      <w:r w:rsidRPr="007B1CC4">
        <w:rPr>
          <w:sz w:val="18"/>
        </w:rPr>
        <w:tab/>
        <w:t>(4)  "PMP" means a medical cannabis pharmacy medical provider that meets the criteria defined in Subsection 4-41a-1101(12).</w:t>
      </w:r>
    </w:p>
    <w:p w14:paraId="7B1D6135" w14:textId="0261A97D" w:rsidR="001316CB" w:rsidRPr="007B1CC4" w:rsidRDefault="001316CB" w:rsidP="001316CB">
      <w:pPr>
        <w:widowControl/>
        <w:suppressAutoHyphens/>
        <w:rPr>
          <w:sz w:val="18"/>
        </w:rPr>
      </w:pPr>
      <w:r w:rsidRPr="007B1CC4">
        <w:rPr>
          <w:sz w:val="18"/>
        </w:rPr>
        <w:tab/>
        <w:t>(5)  "Recreational disposition" means:</w:t>
      </w:r>
    </w:p>
    <w:p w14:paraId="312737C0" w14:textId="77777777" w:rsidR="001316CB" w:rsidRPr="007B1CC4" w:rsidRDefault="001316CB" w:rsidP="001316CB">
      <w:pPr>
        <w:widowControl/>
        <w:suppressAutoHyphens/>
        <w:rPr>
          <w:sz w:val="18"/>
        </w:rPr>
      </w:pPr>
      <w:r w:rsidRPr="007B1CC4">
        <w:rPr>
          <w:sz w:val="18"/>
        </w:rPr>
        <w:tab/>
        <w:t>(a)  slang words or phrases associated with the recreational use of cannabis;</w:t>
      </w:r>
    </w:p>
    <w:p w14:paraId="48928037" w14:textId="77777777" w:rsidR="001316CB" w:rsidRPr="007B1CC4" w:rsidRDefault="001316CB" w:rsidP="001316CB">
      <w:pPr>
        <w:widowControl/>
        <w:suppressAutoHyphens/>
        <w:rPr>
          <w:sz w:val="18"/>
        </w:rPr>
      </w:pPr>
      <w:r w:rsidRPr="007B1CC4">
        <w:rPr>
          <w:sz w:val="18"/>
        </w:rPr>
        <w:tab/>
        <w:t>(b)  an image of a celebrity or other person whose target audience is children or minors;</w:t>
      </w:r>
    </w:p>
    <w:p w14:paraId="374D920D" w14:textId="77777777" w:rsidR="001316CB" w:rsidRPr="007B1CC4" w:rsidRDefault="001316CB" w:rsidP="001316CB">
      <w:pPr>
        <w:widowControl/>
        <w:suppressAutoHyphens/>
        <w:rPr>
          <w:sz w:val="18"/>
        </w:rPr>
      </w:pPr>
      <w:r w:rsidRPr="007B1CC4">
        <w:rPr>
          <w:sz w:val="18"/>
        </w:rPr>
        <w:tab/>
        <w:t>(c)  content that encourages, promotes, or otherwise creates an impression that the recreational use of cannabis is legal or acceptable, or that the recreational use of cannabis has potential health or therapeutic benefits;</w:t>
      </w:r>
    </w:p>
    <w:p w14:paraId="35E8CEEC" w14:textId="77777777" w:rsidR="001316CB" w:rsidRPr="007B1CC4" w:rsidRDefault="001316CB" w:rsidP="001316CB">
      <w:pPr>
        <w:widowControl/>
        <w:suppressAutoHyphens/>
        <w:rPr>
          <w:sz w:val="18"/>
        </w:rPr>
      </w:pPr>
      <w:r w:rsidRPr="007B1CC4">
        <w:rPr>
          <w:sz w:val="18"/>
        </w:rPr>
        <w:tab/>
        <w:t>(d)  content that promotes excessive consumption;</w:t>
      </w:r>
    </w:p>
    <w:p w14:paraId="3F56F12D" w14:textId="77777777" w:rsidR="001316CB" w:rsidRPr="007B1CC4" w:rsidRDefault="001316CB" w:rsidP="001316CB">
      <w:pPr>
        <w:widowControl/>
        <w:suppressAutoHyphens/>
        <w:rPr>
          <w:sz w:val="18"/>
        </w:rPr>
      </w:pPr>
      <w:r w:rsidRPr="007B1CC4">
        <w:rPr>
          <w:sz w:val="18"/>
        </w:rPr>
        <w:tab/>
        <w:t>(e)  content that is obscene or indecent; or</w:t>
      </w:r>
    </w:p>
    <w:p w14:paraId="056F2318" w14:textId="77777777" w:rsidR="001316CB" w:rsidRPr="007B1CC4" w:rsidRDefault="001316CB" w:rsidP="001316CB">
      <w:pPr>
        <w:widowControl/>
        <w:suppressAutoHyphens/>
        <w:rPr>
          <w:sz w:val="18"/>
        </w:rPr>
      </w:pPr>
      <w:r w:rsidRPr="007B1CC4">
        <w:rPr>
          <w:sz w:val="18"/>
        </w:rPr>
        <w:tab/>
        <w:t>(f)  content that a reasonable person knows or should know appeals to children.</w:t>
      </w:r>
    </w:p>
    <w:p w14:paraId="1D8FA59C" w14:textId="77777777" w:rsidR="001316CB" w:rsidRPr="007B1CC4" w:rsidRDefault="001316CB" w:rsidP="001316CB">
      <w:pPr>
        <w:widowControl/>
        <w:suppressAutoHyphens/>
        <w:rPr>
          <w:sz w:val="18"/>
        </w:rPr>
      </w:pPr>
    </w:p>
    <w:p w14:paraId="2AD12080" w14:textId="77AFC067" w:rsidR="001316CB" w:rsidRPr="007B1CC4" w:rsidRDefault="001316CB" w:rsidP="001316CB">
      <w:pPr>
        <w:widowControl/>
        <w:suppressAutoHyphens/>
        <w:rPr>
          <w:sz w:val="18"/>
        </w:rPr>
      </w:pPr>
      <w:r w:rsidRPr="007B1CC4">
        <w:rPr>
          <w:b/>
          <w:bCs/>
          <w:sz w:val="18"/>
        </w:rPr>
        <w:t>R66-10-3.  Closed-Door Medical Cannabis Pharmacy License.</w:t>
      </w:r>
    </w:p>
    <w:p w14:paraId="33D88546" w14:textId="77777777" w:rsidR="001316CB" w:rsidRPr="007B1CC4" w:rsidRDefault="001316CB" w:rsidP="001316CB">
      <w:pPr>
        <w:widowControl/>
        <w:suppressAutoHyphens/>
        <w:rPr>
          <w:sz w:val="18"/>
        </w:rPr>
      </w:pPr>
      <w:r w:rsidRPr="007B1CC4">
        <w:rPr>
          <w:sz w:val="18"/>
        </w:rPr>
        <w:tab/>
        <w:t>(1)  A closed-door medical cannabis pharmacy license allows a home delivery medical cannabis pharmacy licensee to store and distribute medical cannabis via delivery from a separate approved location.</w:t>
      </w:r>
    </w:p>
    <w:p w14:paraId="147D9FCE" w14:textId="77777777" w:rsidR="001316CB" w:rsidRPr="007B1CC4" w:rsidRDefault="001316CB" w:rsidP="001316CB">
      <w:pPr>
        <w:widowControl/>
        <w:suppressAutoHyphens/>
        <w:rPr>
          <w:sz w:val="18"/>
        </w:rPr>
      </w:pPr>
      <w:r w:rsidRPr="007B1CC4">
        <w:rPr>
          <w:sz w:val="18"/>
        </w:rPr>
        <w:tab/>
        <w:t>(2)  Each closed-door medical cannabis pharmacy license shall expire on the same day as the licensee's home delivery pharmacy license, as outlined in Subsection R66-5-3(3).</w:t>
      </w:r>
    </w:p>
    <w:p w14:paraId="4F04914C" w14:textId="77777777" w:rsidR="001316CB" w:rsidRPr="007B1CC4" w:rsidRDefault="001316CB" w:rsidP="001316CB">
      <w:pPr>
        <w:widowControl/>
        <w:suppressAutoHyphens/>
        <w:rPr>
          <w:sz w:val="18"/>
        </w:rPr>
      </w:pPr>
    </w:p>
    <w:p w14:paraId="03BD5C51" w14:textId="242A0C9D" w:rsidR="001316CB" w:rsidRPr="007B1CC4" w:rsidRDefault="001316CB" w:rsidP="001316CB">
      <w:pPr>
        <w:widowControl/>
        <w:suppressAutoHyphens/>
        <w:rPr>
          <w:sz w:val="18"/>
        </w:rPr>
      </w:pPr>
      <w:r w:rsidRPr="007B1CC4">
        <w:rPr>
          <w:b/>
          <w:bCs/>
          <w:sz w:val="18"/>
        </w:rPr>
        <w:t>R66-10-4.  Closed-door Medical Cannabis Pharmacy Requirements.</w:t>
      </w:r>
    </w:p>
    <w:p w14:paraId="128B406F" w14:textId="3C5D4A68" w:rsidR="001316CB" w:rsidRPr="007B1CC4" w:rsidRDefault="001316CB" w:rsidP="001316CB">
      <w:pPr>
        <w:widowControl/>
        <w:suppressAutoHyphens/>
        <w:rPr>
          <w:sz w:val="18"/>
        </w:rPr>
      </w:pPr>
      <w:r w:rsidRPr="007B1CC4">
        <w:rPr>
          <w:sz w:val="18"/>
        </w:rPr>
        <w:tab/>
        <w:t>(1)  A closed-door medical cannabis pharmacy license operating plan shall contain a blueprint of the facility that contains the following information:</w:t>
      </w:r>
    </w:p>
    <w:p w14:paraId="03338DDD" w14:textId="77777777" w:rsidR="001316CB" w:rsidRPr="007B1CC4" w:rsidRDefault="001316CB" w:rsidP="001316CB">
      <w:pPr>
        <w:widowControl/>
        <w:suppressAutoHyphens/>
        <w:rPr>
          <w:sz w:val="18"/>
        </w:rPr>
      </w:pPr>
      <w:r w:rsidRPr="007B1CC4">
        <w:rPr>
          <w:sz w:val="18"/>
        </w:rPr>
        <w:tab/>
        <w:t>(a)  limited access areas;</w:t>
      </w:r>
    </w:p>
    <w:p w14:paraId="6BD5F8DA" w14:textId="77777777" w:rsidR="001316CB" w:rsidRPr="007B1CC4" w:rsidRDefault="001316CB" w:rsidP="001316CB">
      <w:pPr>
        <w:widowControl/>
        <w:suppressAutoHyphens/>
        <w:rPr>
          <w:sz w:val="18"/>
        </w:rPr>
      </w:pPr>
      <w:r w:rsidRPr="007B1CC4">
        <w:rPr>
          <w:sz w:val="18"/>
        </w:rPr>
        <w:tab/>
        <w:t>(b)  where it stores cannabis products and cannabis devices;</w:t>
      </w:r>
    </w:p>
    <w:p w14:paraId="0AB8AB6D" w14:textId="77777777" w:rsidR="001316CB" w:rsidRPr="007B1CC4" w:rsidRDefault="001316CB" w:rsidP="001316CB">
      <w:pPr>
        <w:widowControl/>
        <w:suppressAutoHyphens/>
        <w:rPr>
          <w:sz w:val="18"/>
        </w:rPr>
      </w:pPr>
      <w:r w:rsidRPr="007B1CC4">
        <w:rPr>
          <w:sz w:val="18"/>
        </w:rPr>
        <w:tab/>
        <w:t>(c)  the location of returned cannabis and cannabis waste awaiting destruction;</w:t>
      </w:r>
    </w:p>
    <w:p w14:paraId="6995321D" w14:textId="77777777" w:rsidR="001316CB" w:rsidRPr="007B1CC4" w:rsidRDefault="001316CB" w:rsidP="001316CB">
      <w:pPr>
        <w:widowControl/>
        <w:suppressAutoHyphens/>
        <w:rPr>
          <w:sz w:val="18"/>
        </w:rPr>
      </w:pPr>
      <w:r w:rsidRPr="007B1CC4">
        <w:rPr>
          <w:sz w:val="18"/>
        </w:rPr>
        <w:tab/>
        <w:t>(d)  the location of toilet facilities and hand washing facilities;</w:t>
      </w:r>
    </w:p>
    <w:p w14:paraId="1BB0613F" w14:textId="77777777" w:rsidR="001316CB" w:rsidRPr="007B1CC4" w:rsidRDefault="001316CB" w:rsidP="001316CB">
      <w:pPr>
        <w:widowControl/>
        <w:suppressAutoHyphens/>
        <w:rPr>
          <w:sz w:val="18"/>
        </w:rPr>
      </w:pPr>
      <w:r w:rsidRPr="007B1CC4">
        <w:rPr>
          <w:sz w:val="18"/>
        </w:rPr>
        <w:tab/>
        <w:t>(e)  the location of a break room and the location of personal belonging lockers; and</w:t>
      </w:r>
    </w:p>
    <w:p w14:paraId="588F7824" w14:textId="77777777" w:rsidR="001316CB" w:rsidRPr="007B1CC4" w:rsidRDefault="001316CB" w:rsidP="001316CB">
      <w:pPr>
        <w:widowControl/>
        <w:suppressAutoHyphens/>
        <w:rPr>
          <w:sz w:val="18"/>
        </w:rPr>
      </w:pPr>
      <w:r w:rsidRPr="007B1CC4">
        <w:rPr>
          <w:sz w:val="18"/>
        </w:rPr>
        <w:tab/>
        <w:t>(f)  the location of the areas for loading and unloading of cannabis and cannabis products.</w:t>
      </w:r>
    </w:p>
    <w:p w14:paraId="1300D725" w14:textId="77777777" w:rsidR="001316CB" w:rsidRPr="007B1CC4" w:rsidRDefault="001316CB" w:rsidP="001316CB">
      <w:pPr>
        <w:widowControl/>
        <w:suppressAutoHyphens/>
        <w:rPr>
          <w:sz w:val="18"/>
        </w:rPr>
      </w:pPr>
      <w:r w:rsidRPr="007B1CC4">
        <w:rPr>
          <w:sz w:val="18"/>
        </w:rPr>
        <w:tab/>
        <w:t>(2)  A closed-door medical cannabis pharmacy shall protect confidential cardholder data and information stored in the Electronic Verification System, ensuring access to and use of the data and information is limited to those individuals and purposes authorized under Title 26B, Chapter 4, Part 2, Cannabinoid Research and Medical Cannabis, and this rule.</w:t>
      </w:r>
    </w:p>
    <w:p w14:paraId="224A66A8" w14:textId="77777777" w:rsidR="001316CB" w:rsidRPr="007B1CC4" w:rsidRDefault="001316CB" w:rsidP="001316CB">
      <w:pPr>
        <w:widowControl/>
        <w:suppressAutoHyphens/>
        <w:rPr>
          <w:sz w:val="18"/>
        </w:rPr>
      </w:pPr>
      <w:r w:rsidRPr="007B1CC4">
        <w:rPr>
          <w:sz w:val="18"/>
        </w:rPr>
        <w:tab/>
        <w:t>(3)  A closed-door medical cannabis pharmacy may not ship cannabis to patients outside the hours described in Subsection R66-6-3(4)(b).</w:t>
      </w:r>
    </w:p>
    <w:p w14:paraId="1B51080F" w14:textId="77777777" w:rsidR="001316CB" w:rsidRPr="007B1CC4" w:rsidRDefault="001316CB" w:rsidP="001316CB">
      <w:pPr>
        <w:widowControl/>
        <w:suppressAutoHyphens/>
        <w:rPr>
          <w:sz w:val="18"/>
        </w:rPr>
      </w:pPr>
      <w:r w:rsidRPr="007B1CC4">
        <w:rPr>
          <w:sz w:val="18"/>
        </w:rPr>
        <w:tab/>
        <w:t>(4)  A closed-door medical cannabis pharmacy may not dispense expired, damaged, deteriorated, misbranded, adulterated, or opened medical cannabis products or medical cannabis devices.</w:t>
      </w:r>
    </w:p>
    <w:p w14:paraId="0EAEF6CD" w14:textId="77777777" w:rsidR="001316CB" w:rsidRPr="007B1CC4" w:rsidRDefault="001316CB" w:rsidP="001316CB">
      <w:pPr>
        <w:widowControl/>
        <w:suppressAutoHyphens/>
        <w:rPr>
          <w:sz w:val="18"/>
        </w:rPr>
      </w:pPr>
      <w:r w:rsidRPr="007B1CC4">
        <w:rPr>
          <w:sz w:val="18"/>
        </w:rPr>
        <w:tab/>
        <w:t>(5)  A closed-door medical cannabis pharmacy shall maintain a written plan to handle potential recall and destruction of cannabis due to contamination.</w:t>
      </w:r>
    </w:p>
    <w:p w14:paraId="693ED7A8" w14:textId="77777777" w:rsidR="001316CB" w:rsidRPr="007B1CC4" w:rsidRDefault="001316CB" w:rsidP="001316CB">
      <w:pPr>
        <w:widowControl/>
        <w:suppressAutoHyphens/>
        <w:rPr>
          <w:sz w:val="18"/>
        </w:rPr>
      </w:pPr>
      <w:r w:rsidRPr="007B1CC4">
        <w:rPr>
          <w:sz w:val="18"/>
        </w:rPr>
        <w:tab/>
        <w:t>(6)  A closed-door medical cannabis pharmacy operating plan shall include a waste disposal plan that complies with Section 4-41a-1101.</w:t>
      </w:r>
    </w:p>
    <w:p w14:paraId="2AE44949" w14:textId="77777777" w:rsidR="001316CB" w:rsidRPr="007B1CC4" w:rsidRDefault="001316CB" w:rsidP="001316CB">
      <w:pPr>
        <w:widowControl/>
        <w:suppressAutoHyphens/>
        <w:rPr>
          <w:sz w:val="18"/>
        </w:rPr>
      </w:pPr>
      <w:r w:rsidRPr="007B1CC4">
        <w:rPr>
          <w:sz w:val="18"/>
        </w:rPr>
        <w:tab/>
        <w:t>(7)  A closed-door medical cannabis pharmacy shall provide a copy of a certificate of analysis for a medical cannabis product to a medical cannabis cardholder or a recommending medical provider if:</w:t>
      </w:r>
    </w:p>
    <w:p w14:paraId="12DC35A9" w14:textId="77777777" w:rsidR="001316CB" w:rsidRPr="007B1CC4" w:rsidRDefault="001316CB" w:rsidP="001316CB">
      <w:pPr>
        <w:widowControl/>
        <w:suppressAutoHyphens/>
        <w:rPr>
          <w:sz w:val="18"/>
        </w:rPr>
      </w:pPr>
      <w:r w:rsidRPr="007B1CC4">
        <w:rPr>
          <w:sz w:val="18"/>
        </w:rPr>
        <w:tab/>
        <w:t>(a)  the cardholder or provider requests it in writing; and</w:t>
      </w:r>
    </w:p>
    <w:p w14:paraId="25035A74" w14:textId="77777777" w:rsidR="001316CB" w:rsidRPr="007B1CC4" w:rsidRDefault="001316CB" w:rsidP="001316CB">
      <w:pPr>
        <w:widowControl/>
        <w:suppressAutoHyphens/>
        <w:rPr>
          <w:sz w:val="18"/>
        </w:rPr>
      </w:pPr>
      <w:r w:rsidRPr="007B1CC4">
        <w:rPr>
          <w:sz w:val="18"/>
        </w:rPr>
        <w:tab/>
        <w:t>(b)  the closed-door medical cannabis pharmacy redacts the location of the medical cannabis processor.</w:t>
      </w:r>
    </w:p>
    <w:p w14:paraId="0CB1E79D" w14:textId="77777777" w:rsidR="001316CB" w:rsidRPr="007B1CC4" w:rsidRDefault="001316CB" w:rsidP="001316CB">
      <w:pPr>
        <w:widowControl/>
        <w:suppressAutoHyphens/>
        <w:rPr>
          <w:sz w:val="18"/>
        </w:rPr>
      </w:pPr>
      <w:r w:rsidRPr="007B1CC4">
        <w:rPr>
          <w:sz w:val="18"/>
        </w:rPr>
        <w:tab/>
        <w:t>(8)  A closed-door medical cannabis pharmacy shall immediately report any actual or suspected criminal activity to:</w:t>
      </w:r>
    </w:p>
    <w:p w14:paraId="200F32DA" w14:textId="77777777" w:rsidR="001316CB" w:rsidRPr="007B1CC4" w:rsidRDefault="001316CB" w:rsidP="001316CB">
      <w:pPr>
        <w:widowControl/>
        <w:suppressAutoHyphens/>
        <w:rPr>
          <w:sz w:val="18"/>
        </w:rPr>
      </w:pPr>
      <w:r w:rsidRPr="007B1CC4">
        <w:rPr>
          <w:sz w:val="18"/>
        </w:rPr>
        <w:tab/>
        <w:t>(a)  the department; and</w:t>
      </w:r>
    </w:p>
    <w:p w14:paraId="021E8D3F" w14:textId="77777777" w:rsidR="001316CB" w:rsidRPr="007B1CC4" w:rsidRDefault="001316CB" w:rsidP="001316CB">
      <w:pPr>
        <w:widowControl/>
        <w:suppressAutoHyphens/>
        <w:rPr>
          <w:sz w:val="18"/>
        </w:rPr>
      </w:pPr>
      <w:r w:rsidRPr="007B1CC4">
        <w:rPr>
          <w:sz w:val="18"/>
        </w:rPr>
        <w:tab/>
        <w:t>(b)  law enforcement with jurisdiction where the criminal acts occurred.</w:t>
      </w:r>
    </w:p>
    <w:p w14:paraId="114F8C3E" w14:textId="77777777" w:rsidR="001316CB" w:rsidRPr="007B1CC4" w:rsidRDefault="001316CB" w:rsidP="001316CB">
      <w:pPr>
        <w:widowControl/>
        <w:suppressAutoHyphens/>
        <w:rPr>
          <w:sz w:val="18"/>
        </w:rPr>
      </w:pPr>
    </w:p>
    <w:p w14:paraId="13266168" w14:textId="61FC5D02" w:rsidR="001316CB" w:rsidRPr="007B1CC4" w:rsidRDefault="001316CB" w:rsidP="001316CB">
      <w:pPr>
        <w:widowControl/>
        <w:suppressAutoHyphens/>
        <w:rPr>
          <w:sz w:val="18"/>
        </w:rPr>
      </w:pPr>
      <w:r w:rsidRPr="007B1CC4">
        <w:rPr>
          <w:b/>
          <w:bCs/>
          <w:sz w:val="18"/>
        </w:rPr>
        <w:t>R66-10-5.  Separation of Closed-Door Medical Cannabis Pharmacies and Medical Cannabis Processors in a Single Facility.</w:t>
      </w:r>
    </w:p>
    <w:p w14:paraId="42738835" w14:textId="2988FEC7" w:rsidR="001316CB" w:rsidRPr="007B1CC4" w:rsidRDefault="001316CB" w:rsidP="001316CB">
      <w:pPr>
        <w:widowControl/>
        <w:suppressAutoHyphens/>
        <w:rPr>
          <w:sz w:val="18"/>
        </w:rPr>
      </w:pPr>
      <w:r w:rsidRPr="007B1CC4">
        <w:rPr>
          <w:sz w:val="18"/>
        </w:rPr>
        <w:tab/>
        <w:t>(1)  Any facility with both a closed-door pharmacy license and a license for medical cannabis processing shall ensure the physical separation of medical cannabis, which includes:</w:t>
      </w:r>
    </w:p>
    <w:p w14:paraId="653D2049" w14:textId="0F3BAA88" w:rsidR="001316CB" w:rsidRPr="007B1CC4" w:rsidRDefault="001316CB" w:rsidP="001316CB">
      <w:pPr>
        <w:widowControl/>
        <w:suppressAutoHyphens/>
        <w:rPr>
          <w:sz w:val="18"/>
        </w:rPr>
      </w:pPr>
      <w:r w:rsidRPr="007B1CC4">
        <w:rPr>
          <w:sz w:val="18"/>
        </w:rPr>
        <w:lastRenderedPageBreak/>
        <w:tab/>
        <w:t>(a)  separating medical cannabis intended for home delivery from medical cannabis in the processing facility;</w:t>
      </w:r>
    </w:p>
    <w:p w14:paraId="750C71D9" w14:textId="18A75C81" w:rsidR="001316CB" w:rsidRPr="007B1CC4" w:rsidRDefault="001316CB" w:rsidP="001316CB">
      <w:pPr>
        <w:widowControl/>
        <w:suppressAutoHyphens/>
        <w:rPr>
          <w:sz w:val="18"/>
        </w:rPr>
      </w:pPr>
      <w:r w:rsidRPr="007B1CC4">
        <w:rPr>
          <w:sz w:val="18"/>
        </w:rPr>
        <w:tab/>
        <w:t>(b)  prohibiting the processing of medical cannabis materials in rooms designated as closed-door pharmacy areas;</w:t>
      </w:r>
    </w:p>
    <w:p w14:paraId="79789028" w14:textId="5E4E0D81" w:rsidR="001316CB" w:rsidRPr="007B1CC4" w:rsidRDefault="001316CB" w:rsidP="001316CB">
      <w:pPr>
        <w:widowControl/>
        <w:suppressAutoHyphens/>
        <w:rPr>
          <w:sz w:val="18"/>
        </w:rPr>
      </w:pPr>
      <w:r w:rsidRPr="007B1CC4">
        <w:rPr>
          <w:sz w:val="18"/>
        </w:rPr>
        <w:tab/>
        <w:t>(c)  clearly labeling medical cannabis intended for home delivery in the closed-door pharmacy;</w:t>
      </w:r>
    </w:p>
    <w:p w14:paraId="213F5854" w14:textId="7CD61A4C" w:rsidR="001316CB" w:rsidRPr="007B1CC4" w:rsidRDefault="001316CB" w:rsidP="001316CB">
      <w:pPr>
        <w:widowControl/>
        <w:suppressAutoHyphens/>
        <w:rPr>
          <w:sz w:val="18"/>
        </w:rPr>
      </w:pPr>
      <w:r w:rsidRPr="007B1CC4">
        <w:rPr>
          <w:sz w:val="18"/>
        </w:rPr>
        <w:tab/>
        <w:t>(d)  storing closed-door pharmacy products and medical cannabis processor cannabis in separate secure rooms that are not accessible from the other licensed facility.</w:t>
      </w:r>
    </w:p>
    <w:p w14:paraId="162C437E" w14:textId="3CBBCCD2" w:rsidR="001316CB" w:rsidRPr="007B1CC4" w:rsidRDefault="001316CB" w:rsidP="001316CB">
      <w:pPr>
        <w:widowControl/>
        <w:suppressAutoHyphens/>
        <w:rPr>
          <w:sz w:val="18"/>
        </w:rPr>
      </w:pPr>
      <w:r w:rsidRPr="007B1CC4">
        <w:rPr>
          <w:sz w:val="18"/>
        </w:rPr>
        <w:tab/>
        <w:t>(</w:t>
      </w:r>
      <w:proofErr w:type="spellStart"/>
      <w:r w:rsidRPr="007B1CC4">
        <w:rPr>
          <w:sz w:val="18"/>
        </w:rPr>
        <w:t>i</w:t>
      </w:r>
      <w:proofErr w:type="spellEnd"/>
      <w:r w:rsidRPr="007B1CC4">
        <w:rPr>
          <w:sz w:val="18"/>
        </w:rPr>
        <w:t>)  Final product, raw material, or processed material in inventory at the processor may not travel through the closed-door pharmacy area.</w:t>
      </w:r>
    </w:p>
    <w:p w14:paraId="3B25FC5C" w14:textId="175B3A2E" w:rsidR="001316CB" w:rsidRPr="007B1CC4" w:rsidRDefault="001316CB" w:rsidP="001316CB">
      <w:pPr>
        <w:widowControl/>
        <w:suppressAutoHyphens/>
        <w:rPr>
          <w:sz w:val="18"/>
        </w:rPr>
      </w:pPr>
      <w:r w:rsidRPr="007B1CC4">
        <w:rPr>
          <w:sz w:val="18"/>
        </w:rPr>
        <w:tab/>
        <w:t>(2)  Upon request, the licensee shall inform the department of how it implements the separation of materials, including the facility's separation procedures for raw material, extract, and final products.</w:t>
      </w:r>
    </w:p>
    <w:p w14:paraId="3B4F291E" w14:textId="77777777" w:rsidR="001316CB" w:rsidRPr="007B1CC4" w:rsidRDefault="001316CB" w:rsidP="001316CB">
      <w:pPr>
        <w:widowControl/>
        <w:suppressAutoHyphens/>
        <w:rPr>
          <w:sz w:val="18"/>
        </w:rPr>
      </w:pPr>
    </w:p>
    <w:p w14:paraId="66E9399D" w14:textId="21D3BA39" w:rsidR="001316CB" w:rsidRPr="007B1CC4" w:rsidRDefault="001316CB" w:rsidP="001316CB">
      <w:pPr>
        <w:widowControl/>
        <w:suppressAutoHyphens/>
        <w:rPr>
          <w:sz w:val="18"/>
        </w:rPr>
      </w:pPr>
      <w:r w:rsidRPr="007B1CC4">
        <w:rPr>
          <w:b/>
          <w:bCs/>
          <w:sz w:val="18"/>
        </w:rPr>
        <w:t>R66-10-6.  Security Standards.</w:t>
      </w:r>
    </w:p>
    <w:p w14:paraId="1C543473" w14:textId="529BE96F" w:rsidR="001316CB" w:rsidRPr="007B1CC4" w:rsidRDefault="001316CB" w:rsidP="001316CB">
      <w:pPr>
        <w:widowControl/>
        <w:suppressAutoHyphens/>
        <w:rPr>
          <w:sz w:val="18"/>
        </w:rPr>
      </w:pPr>
      <w:r w:rsidRPr="007B1CC4">
        <w:rPr>
          <w:sz w:val="18"/>
        </w:rPr>
        <w:tab/>
        <w:t>(1)  A closed-door medical cannabis pharmacy shall comply with security standards established in Section 4-41a-1101.</w:t>
      </w:r>
    </w:p>
    <w:p w14:paraId="656CCF48" w14:textId="77777777" w:rsidR="001316CB" w:rsidRPr="007B1CC4" w:rsidRDefault="001316CB" w:rsidP="001316CB">
      <w:pPr>
        <w:widowControl/>
        <w:suppressAutoHyphens/>
        <w:rPr>
          <w:sz w:val="18"/>
        </w:rPr>
      </w:pPr>
      <w:r w:rsidRPr="007B1CC4">
        <w:rPr>
          <w:sz w:val="18"/>
        </w:rPr>
        <w:tab/>
        <w:t>(2)  A closed-door medical cannabis pharmacy shall have a complete video surveillance system:</w:t>
      </w:r>
    </w:p>
    <w:p w14:paraId="1A58DD24" w14:textId="77777777" w:rsidR="001316CB" w:rsidRPr="007B1CC4" w:rsidRDefault="001316CB" w:rsidP="001316CB">
      <w:pPr>
        <w:widowControl/>
        <w:suppressAutoHyphens/>
        <w:rPr>
          <w:sz w:val="18"/>
        </w:rPr>
      </w:pPr>
      <w:r w:rsidRPr="007B1CC4">
        <w:rPr>
          <w:sz w:val="18"/>
        </w:rPr>
        <w:tab/>
        <w:t>(a)  with a minimum camera resolution of 640 x 470 pixels or pixel equivalent for analog;</w:t>
      </w:r>
    </w:p>
    <w:p w14:paraId="5E287BB4" w14:textId="77777777" w:rsidR="001316CB" w:rsidRPr="007B1CC4" w:rsidRDefault="001316CB" w:rsidP="001316CB">
      <w:pPr>
        <w:widowControl/>
        <w:suppressAutoHyphens/>
        <w:rPr>
          <w:sz w:val="18"/>
        </w:rPr>
      </w:pPr>
      <w:r w:rsidRPr="007B1CC4">
        <w:rPr>
          <w:sz w:val="18"/>
        </w:rPr>
        <w:tab/>
        <w:t>(b)  that allows for the clear and certain identification of any person or activities; and</w:t>
      </w:r>
    </w:p>
    <w:p w14:paraId="521E891F" w14:textId="77777777" w:rsidR="001316CB" w:rsidRPr="007B1CC4" w:rsidRDefault="001316CB" w:rsidP="001316CB">
      <w:pPr>
        <w:widowControl/>
        <w:suppressAutoHyphens/>
        <w:rPr>
          <w:sz w:val="18"/>
        </w:rPr>
      </w:pPr>
      <w:r w:rsidRPr="007B1CC4">
        <w:rPr>
          <w:sz w:val="18"/>
        </w:rPr>
        <w:tab/>
        <w:t>(c)  a date and time stamp embedded on video camera recordings that is set correctly.</w:t>
      </w:r>
    </w:p>
    <w:p w14:paraId="787F5734" w14:textId="77777777" w:rsidR="001316CB" w:rsidRPr="007B1CC4" w:rsidRDefault="001316CB" w:rsidP="001316CB">
      <w:pPr>
        <w:widowControl/>
        <w:suppressAutoHyphens/>
        <w:rPr>
          <w:sz w:val="18"/>
        </w:rPr>
      </w:pPr>
      <w:r w:rsidRPr="007B1CC4">
        <w:rPr>
          <w:sz w:val="18"/>
        </w:rPr>
        <w:tab/>
        <w:t>(3)  Visitors to a closed-door medical cannabis pharmacy shall have a properly displayed identification badge issued by the facility while on the premises of the facility.</w:t>
      </w:r>
    </w:p>
    <w:p w14:paraId="48416A24" w14:textId="77777777" w:rsidR="001316CB" w:rsidRPr="007B1CC4" w:rsidRDefault="001316CB" w:rsidP="001316CB">
      <w:pPr>
        <w:widowControl/>
        <w:suppressAutoHyphens/>
        <w:rPr>
          <w:sz w:val="18"/>
        </w:rPr>
      </w:pPr>
      <w:r w:rsidRPr="007B1CC4">
        <w:rPr>
          <w:sz w:val="18"/>
        </w:rPr>
        <w:tab/>
        <w:t>(4)  A Pharmacy Agent or PMP shall escort visitors while in the facility;</w:t>
      </w:r>
    </w:p>
    <w:p w14:paraId="1091B17C" w14:textId="77777777" w:rsidR="001316CB" w:rsidRPr="007B1CC4" w:rsidRDefault="001316CB" w:rsidP="001316CB">
      <w:pPr>
        <w:widowControl/>
        <w:suppressAutoHyphens/>
        <w:rPr>
          <w:sz w:val="18"/>
        </w:rPr>
      </w:pPr>
      <w:r w:rsidRPr="007B1CC4">
        <w:rPr>
          <w:sz w:val="18"/>
        </w:rPr>
        <w:tab/>
        <w:t>(5)  A medical cannabis pharmacy shall keep and maintain a log of visitors, showing:</w:t>
      </w:r>
    </w:p>
    <w:p w14:paraId="4052A3AF" w14:textId="77777777" w:rsidR="001316CB" w:rsidRPr="007B1CC4" w:rsidRDefault="001316CB" w:rsidP="001316CB">
      <w:pPr>
        <w:widowControl/>
        <w:suppressAutoHyphens/>
        <w:rPr>
          <w:sz w:val="18"/>
        </w:rPr>
      </w:pPr>
      <w:r w:rsidRPr="007B1CC4">
        <w:rPr>
          <w:sz w:val="18"/>
        </w:rPr>
        <w:tab/>
        <w:t>(a) full name and age of each visitor entering the facility;</w:t>
      </w:r>
    </w:p>
    <w:p w14:paraId="3D5E4EE9" w14:textId="77777777" w:rsidR="001316CB" w:rsidRPr="007B1CC4" w:rsidRDefault="001316CB" w:rsidP="001316CB">
      <w:pPr>
        <w:widowControl/>
        <w:suppressAutoHyphens/>
        <w:rPr>
          <w:sz w:val="18"/>
        </w:rPr>
      </w:pPr>
      <w:r w:rsidRPr="007B1CC4">
        <w:rPr>
          <w:sz w:val="18"/>
        </w:rPr>
        <w:tab/>
        <w:t>(b)  badge number issued;</w:t>
      </w:r>
    </w:p>
    <w:p w14:paraId="66060E6B" w14:textId="77777777" w:rsidR="001316CB" w:rsidRPr="007B1CC4" w:rsidRDefault="001316CB" w:rsidP="001316CB">
      <w:pPr>
        <w:widowControl/>
        <w:suppressAutoHyphens/>
        <w:rPr>
          <w:sz w:val="18"/>
        </w:rPr>
      </w:pPr>
      <w:r w:rsidRPr="007B1CC4">
        <w:rPr>
          <w:sz w:val="18"/>
        </w:rPr>
        <w:tab/>
        <w:t>(c)  time of arrival;</w:t>
      </w:r>
    </w:p>
    <w:p w14:paraId="11640D8B" w14:textId="77777777" w:rsidR="001316CB" w:rsidRPr="007B1CC4" w:rsidRDefault="001316CB" w:rsidP="001316CB">
      <w:pPr>
        <w:widowControl/>
        <w:suppressAutoHyphens/>
        <w:rPr>
          <w:sz w:val="18"/>
        </w:rPr>
      </w:pPr>
      <w:r w:rsidRPr="007B1CC4">
        <w:rPr>
          <w:sz w:val="18"/>
        </w:rPr>
        <w:tab/>
        <w:t>(d)  time of departure; and</w:t>
      </w:r>
    </w:p>
    <w:p w14:paraId="46684BD6" w14:textId="77777777" w:rsidR="001316CB" w:rsidRPr="007B1CC4" w:rsidRDefault="001316CB" w:rsidP="001316CB">
      <w:pPr>
        <w:widowControl/>
        <w:suppressAutoHyphens/>
        <w:rPr>
          <w:sz w:val="18"/>
        </w:rPr>
      </w:pPr>
      <w:r w:rsidRPr="007B1CC4">
        <w:rPr>
          <w:sz w:val="18"/>
        </w:rPr>
        <w:tab/>
        <w:t>(e)  purpose of the visit.</w:t>
      </w:r>
    </w:p>
    <w:p w14:paraId="2A322F61" w14:textId="77777777" w:rsidR="001316CB" w:rsidRPr="007B1CC4" w:rsidRDefault="001316CB" w:rsidP="001316CB">
      <w:pPr>
        <w:widowControl/>
        <w:suppressAutoHyphens/>
        <w:rPr>
          <w:sz w:val="18"/>
        </w:rPr>
      </w:pPr>
      <w:r w:rsidRPr="007B1CC4">
        <w:rPr>
          <w:sz w:val="18"/>
        </w:rPr>
        <w:tab/>
        <w:t>(6)  The closed-door medical cannabis pharmacy shall maintain the visitor log for a minimum of one year.</w:t>
      </w:r>
    </w:p>
    <w:p w14:paraId="392075CE" w14:textId="4257212A" w:rsidR="001316CB" w:rsidRPr="007B1CC4" w:rsidRDefault="001316CB" w:rsidP="001316CB">
      <w:pPr>
        <w:widowControl/>
        <w:suppressAutoHyphens/>
        <w:rPr>
          <w:sz w:val="18"/>
        </w:rPr>
      </w:pPr>
      <w:r w:rsidRPr="007B1CC4">
        <w:rPr>
          <w:sz w:val="18"/>
        </w:rPr>
        <w:tab/>
        <w:t>(7)  The closed-door medical cannabis pharmacy shall make visitor logs available to the department upon request.</w:t>
      </w:r>
    </w:p>
    <w:p w14:paraId="2D543209" w14:textId="77777777" w:rsidR="001316CB" w:rsidRPr="007B1CC4" w:rsidRDefault="001316CB" w:rsidP="001316CB">
      <w:pPr>
        <w:widowControl/>
        <w:suppressAutoHyphens/>
        <w:rPr>
          <w:sz w:val="18"/>
        </w:rPr>
      </w:pPr>
    </w:p>
    <w:p w14:paraId="121040B7" w14:textId="23A019EF" w:rsidR="001316CB" w:rsidRPr="007B1CC4" w:rsidRDefault="001316CB" w:rsidP="001316CB">
      <w:pPr>
        <w:widowControl/>
        <w:suppressAutoHyphens/>
        <w:rPr>
          <w:sz w:val="18"/>
        </w:rPr>
      </w:pPr>
      <w:r w:rsidRPr="007B1CC4">
        <w:rPr>
          <w:b/>
          <w:bCs/>
          <w:sz w:val="18"/>
        </w:rPr>
        <w:t>R66-10-7.  Inventory Control.</w:t>
      </w:r>
    </w:p>
    <w:p w14:paraId="148F5DDC" w14:textId="77777777" w:rsidR="001316CB" w:rsidRPr="007B1CC4" w:rsidRDefault="001316CB" w:rsidP="001316CB">
      <w:pPr>
        <w:widowControl/>
        <w:suppressAutoHyphens/>
        <w:rPr>
          <w:sz w:val="18"/>
        </w:rPr>
      </w:pPr>
      <w:r w:rsidRPr="007B1CC4">
        <w:rPr>
          <w:sz w:val="18"/>
        </w:rPr>
        <w:tab/>
        <w:t>(1)  A closed-door medical cannabis pharmacy shall record all cannabis products and cannabis waste into the inventory control system, which includes:</w:t>
      </w:r>
    </w:p>
    <w:p w14:paraId="5B108F4C" w14:textId="77777777" w:rsidR="001316CB" w:rsidRPr="007B1CC4" w:rsidRDefault="001316CB" w:rsidP="001316CB">
      <w:pPr>
        <w:widowControl/>
        <w:suppressAutoHyphens/>
        <w:rPr>
          <w:sz w:val="18"/>
        </w:rPr>
      </w:pPr>
      <w:r w:rsidRPr="007B1CC4">
        <w:rPr>
          <w:sz w:val="18"/>
        </w:rPr>
        <w:tab/>
        <w:t>(a)  unique identification number;</w:t>
      </w:r>
    </w:p>
    <w:p w14:paraId="2556304D" w14:textId="77777777" w:rsidR="001316CB" w:rsidRPr="007B1CC4" w:rsidRDefault="001316CB" w:rsidP="001316CB">
      <w:pPr>
        <w:widowControl/>
        <w:suppressAutoHyphens/>
        <w:rPr>
          <w:sz w:val="18"/>
        </w:rPr>
      </w:pPr>
      <w:r w:rsidRPr="007B1CC4">
        <w:rPr>
          <w:sz w:val="18"/>
        </w:rPr>
        <w:tab/>
        <w:t>(b)  batch or lot number;</w:t>
      </w:r>
    </w:p>
    <w:p w14:paraId="7687BDB4" w14:textId="77777777" w:rsidR="001316CB" w:rsidRPr="007B1CC4" w:rsidRDefault="001316CB" w:rsidP="001316CB">
      <w:pPr>
        <w:widowControl/>
        <w:suppressAutoHyphens/>
        <w:rPr>
          <w:sz w:val="18"/>
        </w:rPr>
      </w:pPr>
      <w:r w:rsidRPr="007B1CC4">
        <w:rPr>
          <w:sz w:val="18"/>
        </w:rPr>
        <w:tab/>
        <w:t>(c)  name of product;</w:t>
      </w:r>
    </w:p>
    <w:p w14:paraId="5085AA63" w14:textId="77777777" w:rsidR="001316CB" w:rsidRPr="007B1CC4" w:rsidRDefault="001316CB" w:rsidP="001316CB">
      <w:pPr>
        <w:widowControl/>
        <w:suppressAutoHyphens/>
        <w:rPr>
          <w:sz w:val="18"/>
        </w:rPr>
      </w:pPr>
      <w:r w:rsidRPr="007B1CC4">
        <w:rPr>
          <w:sz w:val="18"/>
        </w:rPr>
        <w:tab/>
        <w:t>(d)  storage location; and</w:t>
      </w:r>
    </w:p>
    <w:p w14:paraId="32E66584" w14:textId="77777777" w:rsidR="001316CB" w:rsidRPr="007B1CC4" w:rsidRDefault="001316CB" w:rsidP="001316CB">
      <w:pPr>
        <w:widowControl/>
        <w:suppressAutoHyphens/>
        <w:rPr>
          <w:sz w:val="18"/>
        </w:rPr>
      </w:pPr>
      <w:r w:rsidRPr="007B1CC4">
        <w:rPr>
          <w:sz w:val="18"/>
        </w:rPr>
        <w:tab/>
        <w:t>(e)  date entered into the inventory control system.</w:t>
      </w:r>
    </w:p>
    <w:p w14:paraId="4BD152B8" w14:textId="77777777" w:rsidR="001316CB" w:rsidRPr="007B1CC4" w:rsidRDefault="001316CB" w:rsidP="001316CB">
      <w:pPr>
        <w:widowControl/>
        <w:suppressAutoHyphens/>
        <w:rPr>
          <w:sz w:val="18"/>
        </w:rPr>
      </w:pPr>
      <w:r w:rsidRPr="007B1CC4">
        <w:rPr>
          <w:sz w:val="18"/>
        </w:rPr>
        <w:tab/>
        <w:t>(2)  Returned products shall be reactivated and placed into the inventory control system.</w:t>
      </w:r>
    </w:p>
    <w:p w14:paraId="385F278C" w14:textId="77777777" w:rsidR="001316CB" w:rsidRPr="007B1CC4" w:rsidRDefault="001316CB" w:rsidP="001316CB">
      <w:pPr>
        <w:widowControl/>
        <w:suppressAutoHyphens/>
        <w:rPr>
          <w:sz w:val="18"/>
        </w:rPr>
      </w:pPr>
      <w:r w:rsidRPr="007B1CC4">
        <w:rPr>
          <w:sz w:val="18"/>
        </w:rPr>
        <w:tab/>
        <w:t>(3)  Each cannabis product or cannabis waste shall have a physical tag containing information listed in Subsection R66-5-6(1).</w:t>
      </w:r>
    </w:p>
    <w:p w14:paraId="357D035F" w14:textId="77777777" w:rsidR="001316CB" w:rsidRPr="007B1CC4" w:rsidRDefault="001316CB" w:rsidP="001316CB">
      <w:pPr>
        <w:widowControl/>
        <w:suppressAutoHyphens/>
        <w:rPr>
          <w:sz w:val="18"/>
        </w:rPr>
      </w:pPr>
      <w:r w:rsidRPr="007B1CC4">
        <w:rPr>
          <w:sz w:val="18"/>
        </w:rPr>
        <w:tab/>
        <w:t>(4)  A receiving medical cannabis pharmacy shall:</w:t>
      </w:r>
    </w:p>
    <w:p w14:paraId="17F7215D" w14:textId="77777777" w:rsidR="001316CB" w:rsidRPr="007B1CC4" w:rsidRDefault="001316CB" w:rsidP="001316CB">
      <w:pPr>
        <w:widowControl/>
        <w:suppressAutoHyphens/>
        <w:rPr>
          <w:sz w:val="18"/>
        </w:rPr>
      </w:pPr>
      <w:r w:rsidRPr="007B1CC4">
        <w:rPr>
          <w:sz w:val="18"/>
        </w:rPr>
        <w:tab/>
        <w:t>(a)  document in the inventory control system any material containing cannabis received, and any difference between the quantity specified in the transport manifest and the quantity received; and</w:t>
      </w:r>
    </w:p>
    <w:p w14:paraId="65BE8CFC" w14:textId="500F98DA" w:rsidR="001316CB" w:rsidRPr="007B1CC4" w:rsidRDefault="001316CB" w:rsidP="001316CB">
      <w:pPr>
        <w:widowControl/>
        <w:suppressAutoHyphens/>
        <w:rPr>
          <w:sz w:val="18"/>
        </w:rPr>
      </w:pPr>
      <w:r w:rsidRPr="007B1CC4">
        <w:rPr>
          <w:sz w:val="18"/>
        </w:rPr>
        <w:tab/>
        <w:t>(b)  within one working day, notify the department if disparities in the quantity of cannabis received are greater than 10% from the amount recorded on the transportation manifest.</w:t>
      </w:r>
    </w:p>
    <w:p w14:paraId="5A338779" w14:textId="77777777" w:rsidR="001316CB" w:rsidRPr="007B1CC4" w:rsidRDefault="001316CB" w:rsidP="001316CB">
      <w:pPr>
        <w:widowControl/>
        <w:suppressAutoHyphens/>
        <w:rPr>
          <w:sz w:val="18"/>
        </w:rPr>
      </w:pPr>
    </w:p>
    <w:p w14:paraId="7BC1B2AC" w14:textId="0167B16D" w:rsidR="001316CB" w:rsidRPr="007B1CC4" w:rsidRDefault="001316CB" w:rsidP="001316CB">
      <w:pPr>
        <w:widowControl/>
        <w:suppressAutoHyphens/>
        <w:rPr>
          <w:sz w:val="18"/>
        </w:rPr>
      </w:pPr>
      <w:r w:rsidRPr="007B1CC4">
        <w:rPr>
          <w:b/>
          <w:bCs/>
          <w:sz w:val="18"/>
        </w:rPr>
        <w:t>R66-10-8.  Minimum Requirements for the Storage and Handling of Cannabis.</w:t>
      </w:r>
    </w:p>
    <w:p w14:paraId="50F07748" w14:textId="77777777" w:rsidR="001316CB" w:rsidRPr="007B1CC4" w:rsidRDefault="001316CB" w:rsidP="001316CB">
      <w:pPr>
        <w:widowControl/>
        <w:suppressAutoHyphens/>
        <w:rPr>
          <w:sz w:val="18"/>
        </w:rPr>
      </w:pPr>
      <w:r w:rsidRPr="007B1CC4">
        <w:rPr>
          <w:sz w:val="18"/>
        </w:rPr>
        <w:tab/>
        <w:t>A closed-door medical cannabis pharmacy shall provide adequate conditions for cannabis storage, including:</w:t>
      </w:r>
    </w:p>
    <w:p w14:paraId="341CD64E" w14:textId="78EC80E3" w:rsidR="001316CB" w:rsidRPr="007B1CC4" w:rsidRDefault="001316CB" w:rsidP="001316CB">
      <w:pPr>
        <w:widowControl/>
        <w:suppressAutoHyphens/>
        <w:rPr>
          <w:sz w:val="18"/>
        </w:rPr>
      </w:pPr>
      <w:r w:rsidRPr="007B1CC4">
        <w:rPr>
          <w:sz w:val="18"/>
        </w:rPr>
        <w:tab/>
        <w:t>(1)  adequate lighting, sanitation, temperature, humidity, space, equipment, and security;</w:t>
      </w:r>
    </w:p>
    <w:p w14:paraId="51563D4F" w14:textId="643385B1" w:rsidR="001316CB" w:rsidRPr="007B1CC4" w:rsidRDefault="001316CB" w:rsidP="001316CB">
      <w:pPr>
        <w:widowControl/>
        <w:suppressAutoHyphens/>
        <w:rPr>
          <w:sz w:val="18"/>
        </w:rPr>
      </w:pPr>
      <w:r w:rsidRPr="007B1CC4">
        <w:rPr>
          <w:sz w:val="18"/>
        </w:rPr>
        <w:tab/>
        <w:t>(2)  storing cannabis at least six inches off the ground;</w:t>
      </w:r>
    </w:p>
    <w:p w14:paraId="747AEAC5" w14:textId="77777777" w:rsidR="001316CB" w:rsidRPr="007B1CC4" w:rsidRDefault="001316CB" w:rsidP="001316CB">
      <w:pPr>
        <w:widowControl/>
        <w:suppressAutoHyphens/>
        <w:rPr>
          <w:sz w:val="18"/>
        </w:rPr>
      </w:pPr>
      <w:r w:rsidRPr="007B1CC4">
        <w:rPr>
          <w:sz w:val="18"/>
        </w:rPr>
        <w:tab/>
        <w:t>(3)  storing cannabis away from potential contaminants; and</w:t>
      </w:r>
    </w:p>
    <w:p w14:paraId="2A8D7710" w14:textId="45934944" w:rsidR="001316CB" w:rsidRPr="007B1CC4" w:rsidRDefault="001316CB" w:rsidP="001316CB">
      <w:pPr>
        <w:widowControl/>
        <w:suppressAutoHyphens/>
        <w:rPr>
          <w:sz w:val="18"/>
        </w:rPr>
      </w:pPr>
      <w:r w:rsidRPr="007B1CC4">
        <w:rPr>
          <w:sz w:val="18"/>
        </w:rPr>
        <w:tab/>
        <w:t>(4)  storing outdated, damaged, deteriorated, misbranded, or adulterated cannabis separately by physical barrier until destruction.</w:t>
      </w:r>
    </w:p>
    <w:p w14:paraId="101D5F15" w14:textId="77777777" w:rsidR="001316CB" w:rsidRPr="007B1CC4" w:rsidRDefault="001316CB" w:rsidP="001316CB">
      <w:pPr>
        <w:widowControl/>
        <w:suppressAutoHyphens/>
        <w:rPr>
          <w:sz w:val="18"/>
        </w:rPr>
      </w:pPr>
    </w:p>
    <w:p w14:paraId="51D559EE" w14:textId="3E6E9AEF" w:rsidR="001316CB" w:rsidRPr="007B1CC4" w:rsidRDefault="001316CB" w:rsidP="001316CB">
      <w:pPr>
        <w:widowControl/>
        <w:suppressAutoHyphens/>
        <w:rPr>
          <w:sz w:val="18"/>
        </w:rPr>
      </w:pPr>
      <w:r w:rsidRPr="007B1CC4">
        <w:rPr>
          <w:b/>
          <w:bCs/>
          <w:sz w:val="18"/>
        </w:rPr>
        <w:t>R66-10-9.  Cannabis Disposal and Waste.</w:t>
      </w:r>
    </w:p>
    <w:p w14:paraId="00E7ED3C" w14:textId="77777777" w:rsidR="001316CB" w:rsidRPr="007B1CC4" w:rsidRDefault="001316CB" w:rsidP="001316CB">
      <w:pPr>
        <w:widowControl/>
        <w:suppressAutoHyphens/>
        <w:rPr>
          <w:sz w:val="18"/>
        </w:rPr>
      </w:pPr>
      <w:r w:rsidRPr="007B1CC4">
        <w:rPr>
          <w:sz w:val="18"/>
        </w:rPr>
        <w:tab/>
        <w:t>(1)  A closed-door medical cannabis pharmacy shall transfer cannabis waste to the medical cannabis home delivery pharmacy location or to a cannabis production establishment licensed by the department for disposal.</w:t>
      </w:r>
    </w:p>
    <w:p w14:paraId="5C84CE3E" w14:textId="77777777" w:rsidR="001316CB" w:rsidRPr="007B1CC4" w:rsidRDefault="001316CB" w:rsidP="001316CB">
      <w:pPr>
        <w:widowControl/>
        <w:suppressAutoHyphens/>
        <w:rPr>
          <w:sz w:val="18"/>
        </w:rPr>
      </w:pPr>
      <w:r w:rsidRPr="007B1CC4">
        <w:rPr>
          <w:sz w:val="18"/>
        </w:rPr>
        <w:tab/>
        <w:t>(2)  A closed-door medical cannabis pharmacy shall:</w:t>
      </w:r>
    </w:p>
    <w:p w14:paraId="6DE90A3F" w14:textId="77777777" w:rsidR="001316CB" w:rsidRPr="007B1CC4" w:rsidRDefault="001316CB" w:rsidP="001316CB">
      <w:pPr>
        <w:widowControl/>
        <w:suppressAutoHyphens/>
        <w:rPr>
          <w:sz w:val="18"/>
        </w:rPr>
      </w:pPr>
      <w:r w:rsidRPr="007B1CC4">
        <w:rPr>
          <w:sz w:val="18"/>
        </w:rPr>
        <w:tab/>
        <w:t>(a)  securely lock and store cannabis waste in a container marked "Not for Sale"; and</w:t>
      </w:r>
    </w:p>
    <w:p w14:paraId="203B0382" w14:textId="343A8583" w:rsidR="001316CB" w:rsidRPr="007B1CC4" w:rsidRDefault="001316CB" w:rsidP="001316CB">
      <w:pPr>
        <w:widowControl/>
        <w:suppressAutoHyphens/>
        <w:rPr>
          <w:sz w:val="18"/>
        </w:rPr>
      </w:pPr>
      <w:r w:rsidRPr="007B1CC4">
        <w:rPr>
          <w:sz w:val="18"/>
        </w:rPr>
        <w:tab/>
        <w:t>(b)  ensure the medical cannabis product is logged in the ICS at the time of disposal with appropriate information, including a description of and reason for the disposal.</w:t>
      </w:r>
    </w:p>
    <w:p w14:paraId="59445B8B" w14:textId="77777777" w:rsidR="001316CB" w:rsidRPr="007B1CC4" w:rsidRDefault="001316CB" w:rsidP="001316CB">
      <w:pPr>
        <w:widowControl/>
        <w:suppressAutoHyphens/>
        <w:rPr>
          <w:sz w:val="18"/>
        </w:rPr>
      </w:pPr>
    </w:p>
    <w:p w14:paraId="2E78D2C4" w14:textId="4420BF64" w:rsidR="001316CB" w:rsidRPr="007B1CC4" w:rsidRDefault="001316CB" w:rsidP="001316CB">
      <w:pPr>
        <w:widowControl/>
        <w:suppressAutoHyphens/>
        <w:rPr>
          <w:sz w:val="18"/>
        </w:rPr>
      </w:pPr>
      <w:r w:rsidRPr="007B1CC4">
        <w:rPr>
          <w:b/>
          <w:bCs/>
          <w:sz w:val="18"/>
        </w:rPr>
        <w:t>R66-10-10.  Product Recall.</w:t>
      </w:r>
    </w:p>
    <w:p w14:paraId="6C3A78ED" w14:textId="375B4023" w:rsidR="001316CB" w:rsidRPr="007B1CC4" w:rsidRDefault="001316CB" w:rsidP="001316CB">
      <w:pPr>
        <w:widowControl/>
        <w:suppressAutoHyphens/>
        <w:rPr>
          <w:sz w:val="18"/>
        </w:rPr>
      </w:pPr>
      <w:r w:rsidRPr="007B1CC4">
        <w:rPr>
          <w:sz w:val="18"/>
        </w:rPr>
        <w:lastRenderedPageBreak/>
        <w:tab/>
        <w:t>(1)  A  closed-door medical cannabis pharmacy shall cooperate with product recalls initiated by a cannabis production establishment, a medical cannabis pharmacy, or the department.</w:t>
      </w:r>
    </w:p>
    <w:p w14:paraId="1A3E0021" w14:textId="311C851F" w:rsidR="001316CB" w:rsidRPr="007B1CC4" w:rsidRDefault="001316CB" w:rsidP="001316CB">
      <w:pPr>
        <w:widowControl/>
        <w:suppressAutoHyphens/>
        <w:rPr>
          <w:sz w:val="18"/>
        </w:rPr>
      </w:pPr>
      <w:r w:rsidRPr="007B1CC4">
        <w:rPr>
          <w:sz w:val="18"/>
        </w:rPr>
        <w:tab/>
        <w:t>(2)  The home delivery pharmacy shall handle the recall, bypassing the closed-door medical cannabis pharmacy, according to the its operating plan and in compliance with Section R66-5-8.</w:t>
      </w:r>
    </w:p>
    <w:p w14:paraId="5797B858" w14:textId="77777777" w:rsidR="001316CB" w:rsidRPr="007B1CC4" w:rsidRDefault="001316CB" w:rsidP="001316CB">
      <w:pPr>
        <w:widowControl/>
        <w:suppressAutoHyphens/>
        <w:rPr>
          <w:sz w:val="18"/>
        </w:rPr>
      </w:pPr>
    </w:p>
    <w:p w14:paraId="09FF892A" w14:textId="2E2BC41D" w:rsidR="001316CB" w:rsidRPr="007B1CC4" w:rsidRDefault="001316CB" w:rsidP="001316CB">
      <w:pPr>
        <w:widowControl/>
        <w:suppressAutoHyphens/>
        <w:rPr>
          <w:sz w:val="18"/>
        </w:rPr>
      </w:pPr>
      <w:r w:rsidRPr="007B1CC4">
        <w:rPr>
          <w:b/>
          <w:bCs/>
          <w:sz w:val="18"/>
        </w:rPr>
        <w:t>R66-10-11.  Change in Operating Plans.</w:t>
      </w:r>
    </w:p>
    <w:p w14:paraId="2B3DB43A" w14:textId="77777777" w:rsidR="001316CB" w:rsidRPr="007B1CC4" w:rsidRDefault="001316CB" w:rsidP="001316CB">
      <w:pPr>
        <w:widowControl/>
        <w:suppressAutoHyphens/>
        <w:rPr>
          <w:sz w:val="18"/>
        </w:rPr>
      </w:pPr>
      <w:r w:rsidRPr="007B1CC4">
        <w:rPr>
          <w:sz w:val="18"/>
        </w:rPr>
        <w:tab/>
        <w:t>(1)  A closed-door medical cannabis pharmacy shall submit a notice, on a form provided by the department, before making any changes to the closed-door pharmacy's operating plan.</w:t>
      </w:r>
    </w:p>
    <w:p w14:paraId="7937CFBC" w14:textId="77777777" w:rsidR="001316CB" w:rsidRPr="007B1CC4" w:rsidRDefault="001316CB" w:rsidP="001316CB">
      <w:pPr>
        <w:widowControl/>
        <w:suppressAutoHyphens/>
        <w:rPr>
          <w:sz w:val="18"/>
        </w:rPr>
      </w:pPr>
      <w:r w:rsidRPr="007B1CC4">
        <w:rPr>
          <w:sz w:val="18"/>
        </w:rPr>
        <w:tab/>
        <w:t>(2)  A medical cannabis pharmacy may not implement changes to the initial approved operating plan without written approval from the department.</w:t>
      </w:r>
    </w:p>
    <w:p w14:paraId="6D29681D" w14:textId="77777777" w:rsidR="001316CB" w:rsidRPr="007B1CC4" w:rsidRDefault="001316CB" w:rsidP="001316CB">
      <w:pPr>
        <w:widowControl/>
        <w:suppressAutoHyphens/>
        <w:rPr>
          <w:sz w:val="18"/>
        </w:rPr>
      </w:pPr>
      <w:r w:rsidRPr="007B1CC4">
        <w:rPr>
          <w:sz w:val="18"/>
        </w:rPr>
        <w:tab/>
        <w:t>(3)  The department shall specify the reason for the denial of approval for a change to the operation plan.</w:t>
      </w:r>
    </w:p>
    <w:p w14:paraId="688C1472" w14:textId="77777777" w:rsidR="001316CB" w:rsidRPr="007B1CC4" w:rsidRDefault="001316CB" w:rsidP="001316CB">
      <w:pPr>
        <w:widowControl/>
        <w:suppressAutoHyphens/>
        <w:rPr>
          <w:sz w:val="18"/>
        </w:rPr>
      </w:pPr>
    </w:p>
    <w:p w14:paraId="60F9599D" w14:textId="600F5BCF" w:rsidR="001316CB" w:rsidRPr="007B1CC4" w:rsidRDefault="001316CB" w:rsidP="001316CB">
      <w:pPr>
        <w:widowControl/>
        <w:suppressAutoHyphens/>
        <w:rPr>
          <w:sz w:val="18"/>
        </w:rPr>
      </w:pPr>
      <w:r w:rsidRPr="007B1CC4">
        <w:rPr>
          <w:b/>
          <w:bCs/>
          <w:sz w:val="18"/>
        </w:rPr>
        <w:t>R66-10-12.  Revenue Reporting.</w:t>
      </w:r>
    </w:p>
    <w:p w14:paraId="58EFD412" w14:textId="4841F4C8" w:rsidR="001316CB" w:rsidRPr="007B1CC4" w:rsidRDefault="001316CB" w:rsidP="001316CB">
      <w:pPr>
        <w:widowControl/>
        <w:suppressAutoHyphens/>
        <w:rPr>
          <w:sz w:val="18"/>
        </w:rPr>
      </w:pPr>
      <w:r w:rsidRPr="007B1CC4">
        <w:rPr>
          <w:sz w:val="18"/>
        </w:rPr>
        <w:tab/>
        <w:t>A medical cannabis home delivery pharmacy who opens a closed-door medical cannabis pharmacy shall submit, on a form provided by the department, quarterly reports that include:</w:t>
      </w:r>
    </w:p>
    <w:p w14:paraId="03A78FEF" w14:textId="77777777" w:rsidR="001316CB" w:rsidRPr="007B1CC4" w:rsidRDefault="001316CB" w:rsidP="001316CB">
      <w:pPr>
        <w:widowControl/>
        <w:suppressAutoHyphens/>
        <w:rPr>
          <w:sz w:val="18"/>
        </w:rPr>
      </w:pPr>
      <w:r w:rsidRPr="007B1CC4">
        <w:rPr>
          <w:sz w:val="18"/>
        </w:rPr>
        <w:tab/>
        <w:t>(1)  the total quarterly revenue for the closed-door pharmacy;</w:t>
      </w:r>
    </w:p>
    <w:p w14:paraId="4E496BAF" w14:textId="77777777" w:rsidR="001316CB" w:rsidRPr="007B1CC4" w:rsidRDefault="001316CB" w:rsidP="001316CB">
      <w:pPr>
        <w:widowControl/>
        <w:suppressAutoHyphens/>
        <w:rPr>
          <w:sz w:val="18"/>
        </w:rPr>
      </w:pPr>
      <w:r w:rsidRPr="007B1CC4">
        <w:rPr>
          <w:sz w:val="18"/>
        </w:rPr>
        <w:tab/>
        <w:t>(2)  total quarterly revenue for each licensed medical cannabis pharmacy owned by the entity; and</w:t>
      </w:r>
    </w:p>
    <w:p w14:paraId="71B50AB0" w14:textId="77777777" w:rsidR="001316CB" w:rsidRPr="007B1CC4" w:rsidRDefault="001316CB" w:rsidP="001316CB">
      <w:pPr>
        <w:widowControl/>
        <w:suppressAutoHyphens/>
        <w:rPr>
          <w:sz w:val="18"/>
        </w:rPr>
      </w:pPr>
      <w:r w:rsidRPr="007B1CC4">
        <w:rPr>
          <w:sz w:val="18"/>
        </w:rPr>
        <w:tab/>
        <w:t>(3)  any other information requested by the department.</w:t>
      </w:r>
    </w:p>
    <w:p w14:paraId="4967F447" w14:textId="77777777" w:rsidR="001316CB" w:rsidRPr="007B1CC4" w:rsidRDefault="001316CB" w:rsidP="001316CB">
      <w:pPr>
        <w:widowControl/>
        <w:suppressAutoHyphens/>
        <w:rPr>
          <w:sz w:val="18"/>
        </w:rPr>
      </w:pPr>
    </w:p>
    <w:p w14:paraId="341328D3" w14:textId="25587BAB" w:rsidR="001316CB" w:rsidRPr="007B1CC4" w:rsidRDefault="001316CB" w:rsidP="001316CB">
      <w:pPr>
        <w:widowControl/>
        <w:suppressAutoHyphens/>
        <w:rPr>
          <w:sz w:val="18"/>
        </w:rPr>
      </w:pPr>
      <w:r w:rsidRPr="007B1CC4">
        <w:rPr>
          <w:b/>
          <w:bCs/>
          <w:sz w:val="18"/>
        </w:rPr>
        <w:t>R66-10-13.  Closed-Door Pharmacy License and Renewal.</w:t>
      </w:r>
    </w:p>
    <w:p w14:paraId="080BB562" w14:textId="75F431D7" w:rsidR="001316CB" w:rsidRPr="007B1CC4" w:rsidRDefault="001316CB" w:rsidP="001316CB">
      <w:pPr>
        <w:widowControl/>
        <w:suppressAutoHyphens/>
        <w:rPr>
          <w:sz w:val="18"/>
        </w:rPr>
      </w:pPr>
      <w:r w:rsidRPr="007B1CC4">
        <w:rPr>
          <w:sz w:val="18"/>
        </w:rPr>
        <w:tab/>
        <w:t>(1)  A medical cannabis home delivery pharmacy shall submit a notice of intent to renew the closed-door pharmacy with the renewal for the home delivery pharmacy.</w:t>
      </w:r>
    </w:p>
    <w:p w14:paraId="443A2700" w14:textId="77777777" w:rsidR="001316CB" w:rsidRPr="007B1CC4" w:rsidRDefault="001316CB" w:rsidP="001316CB">
      <w:pPr>
        <w:widowControl/>
        <w:suppressAutoHyphens/>
        <w:rPr>
          <w:sz w:val="18"/>
        </w:rPr>
      </w:pPr>
      <w:r w:rsidRPr="007B1CC4">
        <w:rPr>
          <w:sz w:val="18"/>
        </w:rPr>
        <w:tab/>
        <w:t>(2)  The licensee shall report the information required for renewal under Subsection 4-41a-201.1(10)(b)(iv) to the board.</w:t>
      </w:r>
    </w:p>
    <w:p w14:paraId="05F6FFE6" w14:textId="77777777" w:rsidR="001316CB" w:rsidRPr="007B1CC4" w:rsidRDefault="001316CB" w:rsidP="001316CB">
      <w:pPr>
        <w:widowControl/>
        <w:suppressAutoHyphens/>
        <w:rPr>
          <w:sz w:val="18"/>
        </w:rPr>
      </w:pPr>
      <w:r w:rsidRPr="007B1CC4">
        <w:rPr>
          <w:sz w:val="18"/>
        </w:rPr>
        <w:tab/>
        <w:t>(3)  If the licensing fee and intent to renew are not submitted by the day of license expiration, the licensee may not continue to operate.</w:t>
      </w:r>
    </w:p>
    <w:p w14:paraId="6FC3C64F" w14:textId="22509562" w:rsidR="001316CB" w:rsidRPr="007B1CC4" w:rsidRDefault="001316CB" w:rsidP="001316CB">
      <w:pPr>
        <w:widowControl/>
        <w:suppressAutoHyphens/>
        <w:rPr>
          <w:sz w:val="18"/>
        </w:rPr>
      </w:pPr>
      <w:r w:rsidRPr="007B1CC4">
        <w:rPr>
          <w:sz w:val="18"/>
        </w:rPr>
        <w:tab/>
        <w:t>(4)  The board may consider significant violations issued when determining license renewals.</w:t>
      </w:r>
    </w:p>
    <w:p w14:paraId="449BC7E6" w14:textId="77777777" w:rsidR="001316CB" w:rsidRPr="007B1CC4" w:rsidRDefault="001316CB" w:rsidP="001316CB">
      <w:pPr>
        <w:widowControl/>
        <w:suppressAutoHyphens/>
        <w:rPr>
          <w:sz w:val="18"/>
        </w:rPr>
      </w:pPr>
    </w:p>
    <w:p w14:paraId="27509E7E" w14:textId="087F9264" w:rsidR="001316CB" w:rsidRPr="007B1CC4" w:rsidRDefault="001316CB" w:rsidP="001316CB">
      <w:pPr>
        <w:widowControl/>
        <w:suppressAutoHyphens/>
        <w:rPr>
          <w:sz w:val="18"/>
        </w:rPr>
      </w:pPr>
      <w:r w:rsidRPr="007B1CC4">
        <w:rPr>
          <w:b/>
          <w:bCs/>
          <w:sz w:val="18"/>
        </w:rPr>
        <w:t>R66-10-14.  Violations Categories.</w:t>
      </w:r>
    </w:p>
    <w:p w14:paraId="5ADD1CBE" w14:textId="77777777" w:rsidR="001316CB" w:rsidRPr="007B1CC4" w:rsidRDefault="001316CB" w:rsidP="001316CB">
      <w:pPr>
        <w:widowControl/>
        <w:suppressAutoHyphens/>
        <w:rPr>
          <w:sz w:val="18"/>
        </w:rPr>
      </w:pPr>
      <w:r w:rsidRPr="007B1CC4">
        <w:rPr>
          <w:sz w:val="18"/>
        </w:rPr>
        <w:tab/>
        <w:t>(1)  Public Safety Violations: $3,000 - $5,000 per violation.  This category is for violations that present a direct threat to public health or safety, including:</w:t>
      </w:r>
    </w:p>
    <w:p w14:paraId="6FA47E1C" w14:textId="77777777" w:rsidR="001316CB" w:rsidRPr="007B1CC4" w:rsidRDefault="001316CB" w:rsidP="001316CB">
      <w:pPr>
        <w:widowControl/>
        <w:suppressAutoHyphens/>
        <w:rPr>
          <w:sz w:val="18"/>
        </w:rPr>
      </w:pPr>
      <w:r w:rsidRPr="007B1CC4">
        <w:rPr>
          <w:sz w:val="18"/>
        </w:rPr>
        <w:tab/>
        <w:t>(a)  cannabis sold to an unlicensed source;</w:t>
      </w:r>
    </w:p>
    <w:p w14:paraId="1486F741" w14:textId="77777777" w:rsidR="001316CB" w:rsidRPr="007B1CC4" w:rsidRDefault="001316CB" w:rsidP="001316CB">
      <w:pPr>
        <w:widowControl/>
        <w:suppressAutoHyphens/>
        <w:rPr>
          <w:sz w:val="18"/>
        </w:rPr>
      </w:pPr>
      <w:r w:rsidRPr="007B1CC4">
        <w:rPr>
          <w:sz w:val="18"/>
        </w:rPr>
        <w:tab/>
        <w:t>(b)  cannabis purchased from an unlicensed source;</w:t>
      </w:r>
    </w:p>
    <w:p w14:paraId="18C82E7D" w14:textId="77777777" w:rsidR="001316CB" w:rsidRPr="007B1CC4" w:rsidRDefault="001316CB" w:rsidP="001316CB">
      <w:pPr>
        <w:widowControl/>
        <w:suppressAutoHyphens/>
        <w:rPr>
          <w:sz w:val="18"/>
        </w:rPr>
      </w:pPr>
      <w:r w:rsidRPr="007B1CC4">
        <w:rPr>
          <w:sz w:val="18"/>
        </w:rPr>
        <w:tab/>
        <w:t>(c)  refusal to allow inspection;</w:t>
      </w:r>
    </w:p>
    <w:p w14:paraId="52AC3BE3" w14:textId="77777777" w:rsidR="001316CB" w:rsidRPr="007B1CC4" w:rsidRDefault="001316CB" w:rsidP="001316CB">
      <w:pPr>
        <w:widowControl/>
        <w:suppressAutoHyphens/>
        <w:rPr>
          <w:sz w:val="18"/>
        </w:rPr>
      </w:pPr>
      <w:r w:rsidRPr="007B1CC4">
        <w:rPr>
          <w:sz w:val="18"/>
        </w:rPr>
        <w:tab/>
        <w:t>(d)  failure to comply with pharmacist-in-charge requirements;</w:t>
      </w:r>
    </w:p>
    <w:p w14:paraId="3482626F" w14:textId="77777777" w:rsidR="001316CB" w:rsidRPr="007B1CC4" w:rsidRDefault="001316CB" w:rsidP="001316CB">
      <w:pPr>
        <w:widowControl/>
        <w:suppressAutoHyphens/>
        <w:rPr>
          <w:sz w:val="18"/>
        </w:rPr>
      </w:pPr>
      <w:r w:rsidRPr="007B1CC4">
        <w:rPr>
          <w:sz w:val="18"/>
        </w:rPr>
        <w:tab/>
        <w:t>(e)  failure to maintain required general operating standards;</w:t>
      </w:r>
    </w:p>
    <w:p w14:paraId="0907168B" w14:textId="77777777" w:rsidR="001316CB" w:rsidRPr="007B1CC4" w:rsidRDefault="001316CB" w:rsidP="001316CB">
      <w:pPr>
        <w:widowControl/>
        <w:suppressAutoHyphens/>
        <w:rPr>
          <w:sz w:val="18"/>
        </w:rPr>
      </w:pPr>
      <w:r w:rsidRPr="007B1CC4">
        <w:rPr>
          <w:sz w:val="18"/>
        </w:rPr>
        <w:tab/>
        <w:t>(f)  failure to comply with product recall requirements;</w:t>
      </w:r>
    </w:p>
    <w:p w14:paraId="6FF87A48" w14:textId="77777777" w:rsidR="001316CB" w:rsidRPr="007B1CC4" w:rsidRDefault="001316CB" w:rsidP="001316CB">
      <w:pPr>
        <w:widowControl/>
        <w:suppressAutoHyphens/>
        <w:rPr>
          <w:sz w:val="18"/>
        </w:rPr>
      </w:pPr>
      <w:r w:rsidRPr="007B1CC4">
        <w:rPr>
          <w:sz w:val="18"/>
        </w:rPr>
        <w:tab/>
        <w:t>(g)  unauthorized personnel on the premises;</w:t>
      </w:r>
    </w:p>
    <w:p w14:paraId="2A78074E" w14:textId="77777777" w:rsidR="001316CB" w:rsidRPr="007B1CC4" w:rsidRDefault="001316CB" w:rsidP="001316CB">
      <w:pPr>
        <w:widowControl/>
        <w:suppressAutoHyphens/>
        <w:rPr>
          <w:sz w:val="18"/>
        </w:rPr>
      </w:pPr>
      <w:r w:rsidRPr="007B1CC4">
        <w:rPr>
          <w:sz w:val="18"/>
        </w:rPr>
        <w:tab/>
        <w:t>(h)  permitting criminal conduct on the premises; or</w:t>
      </w:r>
    </w:p>
    <w:p w14:paraId="59BD0B95" w14:textId="77777777" w:rsidR="001316CB" w:rsidRPr="007B1CC4" w:rsidRDefault="001316CB" w:rsidP="001316CB">
      <w:pPr>
        <w:widowControl/>
        <w:suppressAutoHyphens/>
        <w:rPr>
          <w:sz w:val="18"/>
        </w:rPr>
      </w:pPr>
      <w:r w:rsidRPr="007B1CC4">
        <w:rPr>
          <w:sz w:val="18"/>
        </w:rPr>
        <w:tab/>
        <w:t>(</w:t>
      </w:r>
      <w:proofErr w:type="spellStart"/>
      <w:r w:rsidRPr="007B1CC4">
        <w:rPr>
          <w:sz w:val="18"/>
        </w:rPr>
        <w:t>i</w:t>
      </w:r>
      <w:proofErr w:type="spellEnd"/>
      <w:r w:rsidRPr="007B1CC4">
        <w:rPr>
          <w:sz w:val="18"/>
        </w:rPr>
        <w:t>)  engaging in or permitting a violation of the Title 4, Chapter 41a, Cannabis Production Establishments and Pharmacies which amounts to a public safety violation as described in this subsection.</w:t>
      </w:r>
    </w:p>
    <w:p w14:paraId="44724193" w14:textId="77777777" w:rsidR="001316CB" w:rsidRPr="007B1CC4" w:rsidRDefault="001316CB" w:rsidP="001316CB">
      <w:pPr>
        <w:widowControl/>
        <w:suppressAutoHyphens/>
        <w:rPr>
          <w:sz w:val="18"/>
        </w:rPr>
      </w:pPr>
      <w:r w:rsidRPr="007B1CC4">
        <w:rPr>
          <w:sz w:val="18"/>
        </w:rPr>
        <w:tab/>
        <w:t>(2)  Regulatory Violations: $1,000 - $5,000 per violation.  This category is for violations involving this rule and other applicable state rules:</w:t>
      </w:r>
    </w:p>
    <w:p w14:paraId="6E4A7433" w14:textId="77777777" w:rsidR="001316CB" w:rsidRPr="007B1CC4" w:rsidRDefault="001316CB" w:rsidP="001316CB">
      <w:pPr>
        <w:widowControl/>
        <w:suppressAutoHyphens/>
        <w:rPr>
          <w:sz w:val="18"/>
        </w:rPr>
      </w:pPr>
      <w:r w:rsidRPr="007B1CC4">
        <w:rPr>
          <w:sz w:val="18"/>
        </w:rPr>
        <w:tab/>
        <w:t>(a)  failure to maintain alarm and security systems;</w:t>
      </w:r>
    </w:p>
    <w:p w14:paraId="3958B387" w14:textId="77777777" w:rsidR="001316CB" w:rsidRPr="007B1CC4" w:rsidRDefault="001316CB" w:rsidP="001316CB">
      <w:pPr>
        <w:widowControl/>
        <w:suppressAutoHyphens/>
        <w:rPr>
          <w:sz w:val="18"/>
        </w:rPr>
      </w:pPr>
      <w:r w:rsidRPr="007B1CC4">
        <w:rPr>
          <w:sz w:val="18"/>
        </w:rPr>
        <w:tab/>
        <w:t>(b)  failure to keep and maintain records for at least five years;</w:t>
      </w:r>
    </w:p>
    <w:p w14:paraId="1AEC0435" w14:textId="77777777" w:rsidR="001316CB" w:rsidRPr="007B1CC4" w:rsidRDefault="001316CB" w:rsidP="001316CB">
      <w:pPr>
        <w:widowControl/>
        <w:suppressAutoHyphens/>
        <w:rPr>
          <w:sz w:val="18"/>
        </w:rPr>
      </w:pPr>
      <w:r w:rsidRPr="007B1CC4">
        <w:rPr>
          <w:sz w:val="18"/>
        </w:rPr>
        <w:tab/>
        <w:t>(c)  failure to maintain traceability;</w:t>
      </w:r>
    </w:p>
    <w:p w14:paraId="6B6A27A3" w14:textId="77777777" w:rsidR="001316CB" w:rsidRPr="007B1CC4" w:rsidRDefault="001316CB" w:rsidP="001316CB">
      <w:pPr>
        <w:widowControl/>
        <w:suppressAutoHyphens/>
        <w:rPr>
          <w:sz w:val="18"/>
        </w:rPr>
      </w:pPr>
      <w:r w:rsidRPr="007B1CC4">
        <w:rPr>
          <w:sz w:val="18"/>
        </w:rPr>
        <w:tab/>
        <w:t>(d)  failure to follow transportation requirements;</w:t>
      </w:r>
    </w:p>
    <w:p w14:paraId="627F95DE" w14:textId="77777777" w:rsidR="001316CB" w:rsidRPr="007B1CC4" w:rsidRDefault="001316CB" w:rsidP="001316CB">
      <w:pPr>
        <w:widowControl/>
        <w:suppressAutoHyphens/>
        <w:rPr>
          <w:sz w:val="18"/>
        </w:rPr>
      </w:pPr>
      <w:r w:rsidRPr="007B1CC4">
        <w:rPr>
          <w:sz w:val="18"/>
        </w:rPr>
        <w:tab/>
        <w:t>(e)  failure to follow the waste and disposal requirements;</w:t>
      </w:r>
    </w:p>
    <w:p w14:paraId="53A55704" w14:textId="77777777" w:rsidR="001316CB" w:rsidRPr="007B1CC4" w:rsidRDefault="001316CB" w:rsidP="001316CB">
      <w:pPr>
        <w:widowControl/>
        <w:suppressAutoHyphens/>
        <w:rPr>
          <w:sz w:val="18"/>
        </w:rPr>
      </w:pPr>
      <w:r w:rsidRPr="007B1CC4">
        <w:rPr>
          <w:sz w:val="18"/>
        </w:rPr>
        <w:tab/>
        <w:t>(f)  failure to follow targeted marketing requirements;</w:t>
      </w:r>
    </w:p>
    <w:p w14:paraId="0908077A" w14:textId="77777777" w:rsidR="001316CB" w:rsidRPr="007B1CC4" w:rsidRDefault="001316CB" w:rsidP="001316CB">
      <w:pPr>
        <w:widowControl/>
        <w:suppressAutoHyphens/>
        <w:rPr>
          <w:sz w:val="18"/>
        </w:rPr>
      </w:pPr>
      <w:r w:rsidRPr="007B1CC4">
        <w:rPr>
          <w:sz w:val="18"/>
        </w:rPr>
        <w:tab/>
        <w:t>(g)  failure to follow agent duties and responsibilities requirements; or</w:t>
      </w:r>
    </w:p>
    <w:p w14:paraId="141390B1" w14:textId="77777777" w:rsidR="001316CB" w:rsidRPr="007B1CC4" w:rsidRDefault="001316CB" w:rsidP="001316CB">
      <w:pPr>
        <w:widowControl/>
        <w:suppressAutoHyphens/>
        <w:rPr>
          <w:sz w:val="18"/>
        </w:rPr>
      </w:pPr>
      <w:r w:rsidRPr="007B1CC4">
        <w:rPr>
          <w:sz w:val="18"/>
        </w:rPr>
        <w:tab/>
        <w:t>(h)  engaging in or permitting a violation of Title 4, Chapter 41a, Cannabis Production Establishments and Pharmacies or this rule which amounts to a regulatory violation as described in this subsection;</w:t>
      </w:r>
    </w:p>
    <w:p w14:paraId="4DA280B6" w14:textId="77777777" w:rsidR="001316CB" w:rsidRPr="007B1CC4" w:rsidRDefault="001316CB" w:rsidP="001316CB">
      <w:pPr>
        <w:widowControl/>
        <w:suppressAutoHyphens/>
        <w:rPr>
          <w:sz w:val="18"/>
        </w:rPr>
      </w:pPr>
      <w:r w:rsidRPr="007B1CC4">
        <w:rPr>
          <w:sz w:val="18"/>
        </w:rPr>
        <w:tab/>
        <w:t>(3)  Licensing Violations: $500- $5,000 per violation.  This category is for violations involving licensing requirements including:</w:t>
      </w:r>
    </w:p>
    <w:p w14:paraId="6E30989C" w14:textId="77777777" w:rsidR="001316CB" w:rsidRPr="007B1CC4" w:rsidRDefault="001316CB" w:rsidP="001316CB">
      <w:pPr>
        <w:widowControl/>
        <w:suppressAutoHyphens/>
        <w:rPr>
          <w:sz w:val="18"/>
        </w:rPr>
      </w:pPr>
      <w:r w:rsidRPr="007B1CC4">
        <w:rPr>
          <w:sz w:val="18"/>
        </w:rPr>
        <w:tab/>
        <w:t>(a)  an unauthorized change to the operating plan;</w:t>
      </w:r>
    </w:p>
    <w:p w14:paraId="595B9859" w14:textId="77777777" w:rsidR="001316CB" w:rsidRPr="007B1CC4" w:rsidRDefault="001316CB" w:rsidP="001316CB">
      <w:pPr>
        <w:widowControl/>
        <w:suppressAutoHyphens/>
        <w:rPr>
          <w:sz w:val="18"/>
        </w:rPr>
      </w:pPr>
      <w:r w:rsidRPr="007B1CC4">
        <w:rPr>
          <w:sz w:val="18"/>
        </w:rPr>
        <w:tab/>
        <w:t>(b)  failure to notify the department of changes to the operating plan;</w:t>
      </w:r>
    </w:p>
    <w:p w14:paraId="29F07BF4" w14:textId="77777777" w:rsidR="001316CB" w:rsidRPr="007B1CC4" w:rsidRDefault="001316CB" w:rsidP="001316CB">
      <w:pPr>
        <w:widowControl/>
        <w:suppressAutoHyphens/>
        <w:rPr>
          <w:sz w:val="18"/>
        </w:rPr>
      </w:pPr>
      <w:r w:rsidRPr="007B1CC4">
        <w:rPr>
          <w:sz w:val="18"/>
        </w:rPr>
        <w:tab/>
        <w:t>(c)  failure to notify the department of changes to financial or voting interests of greater than 10%;</w:t>
      </w:r>
    </w:p>
    <w:p w14:paraId="09D00F85" w14:textId="77777777" w:rsidR="001316CB" w:rsidRPr="007B1CC4" w:rsidRDefault="001316CB" w:rsidP="001316CB">
      <w:pPr>
        <w:widowControl/>
        <w:suppressAutoHyphens/>
        <w:rPr>
          <w:sz w:val="18"/>
        </w:rPr>
      </w:pPr>
      <w:r w:rsidRPr="007B1CC4">
        <w:rPr>
          <w:sz w:val="18"/>
        </w:rPr>
        <w:tab/>
        <w:t>(d)  failure to follow the operating plan as approved by the department;</w:t>
      </w:r>
    </w:p>
    <w:p w14:paraId="0DF0068F" w14:textId="77777777" w:rsidR="001316CB" w:rsidRPr="007B1CC4" w:rsidRDefault="001316CB" w:rsidP="001316CB">
      <w:pPr>
        <w:widowControl/>
        <w:suppressAutoHyphens/>
        <w:rPr>
          <w:sz w:val="18"/>
        </w:rPr>
      </w:pPr>
      <w:r w:rsidRPr="007B1CC4">
        <w:rPr>
          <w:sz w:val="18"/>
        </w:rPr>
        <w:tab/>
        <w:t>(e)  engaging in or permitting a violation of this rule or Title 4, Chapter 41a, Cannabis Production Establishments and Pharmacies, which amounts to a licensing violation as described in this subsection; or</w:t>
      </w:r>
    </w:p>
    <w:p w14:paraId="4C3859FD" w14:textId="77777777" w:rsidR="001316CB" w:rsidRPr="007B1CC4" w:rsidRDefault="001316CB" w:rsidP="001316CB">
      <w:pPr>
        <w:widowControl/>
        <w:suppressAutoHyphens/>
        <w:rPr>
          <w:sz w:val="18"/>
        </w:rPr>
      </w:pPr>
      <w:r w:rsidRPr="007B1CC4">
        <w:rPr>
          <w:sz w:val="18"/>
        </w:rPr>
        <w:tab/>
        <w:t>(f)  failure to respond to violations.</w:t>
      </w:r>
    </w:p>
    <w:p w14:paraId="28E12809" w14:textId="77777777" w:rsidR="001316CB" w:rsidRPr="007B1CC4" w:rsidRDefault="001316CB" w:rsidP="001316CB">
      <w:pPr>
        <w:widowControl/>
        <w:suppressAutoHyphens/>
        <w:rPr>
          <w:sz w:val="18"/>
        </w:rPr>
      </w:pPr>
      <w:r w:rsidRPr="007B1CC4">
        <w:rPr>
          <w:sz w:val="18"/>
        </w:rPr>
        <w:lastRenderedPageBreak/>
        <w:tab/>
        <w:t>(4)  The department shall calculate penalties based on the level of violation and the adverse effect or potential adverse effect at the time of the incidents giving rise to the violation.</w:t>
      </w:r>
    </w:p>
    <w:p w14:paraId="60C9B50A" w14:textId="77777777" w:rsidR="001316CB" w:rsidRPr="007B1CC4" w:rsidRDefault="001316CB" w:rsidP="001316CB">
      <w:pPr>
        <w:widowControl/>
        <w:suppressAutoHyphens/>
        <w:rPr>
          <w:sz w:val="18"/>
        </w:rPr>
      </w:pPr>
      <w:r w:rsidRPr="007B1CC4">
        <w:rPr>
          <w:sz w:val="18"/>
        </w:rPr>
        <w:tab/>
        <w:t>(5)  The department may enhance or reduce the penalty based on the seriousness of the violation.</w:t>
      </w:r>
    </w:p>
    <w:p w14:paraId="35331D52" w14:textId="77777777" w:rsidR="001316CB" w:rsidRPr="007B1CC4" w:rsidRDefault="001316CB" w:rsidP="001316CB">
      <w:pPr>
        <w:widowControl/>
        <w:suppressAutoHyphens/>
        <w:rPr>
          <w:sz w:val="18"/>
        </w:rPr>
      </w:pPr>
    </w:p>
    <w:p w14:paraId="04F8A0B8" w14:textId="77777777" w:rsidR="001316CB" w:rsidRPr="007B1CC4" w:rsidRDefault="001316CB" w:rsidP="001316CB">
      <w:pPr>
        <w:widowControl/>
        <w:suppressAutoHyphens/>
        <w:rPr>
          <w:bCs/>
          <w:sz w:val="18"/>
        </w:rPr>
      </w:pPr>
      <w:r w:rsidRPr="007B1CC4">
        <w:rPr>
          <w:b/>
          <w:bCs/>
          <w:sz w:val="18"/>
        </w:rPr>
        <w:t>KEY:  medical cannabis, pharmacy, closed-door, violation categories, product recall, waste and disposal, licensing, storage and handling</w:t>
      </w:r>
    </w:p>
    <w:p w14:paraId="513A62B9" w14:textId="211FCC3D" w:rsidR="001316CB" w:rsidRPr="007B1CC4" w:rsidRDefault="001316CB" w:rsidP="001316CB">
      <w:pPr>
        <w:widowControl/>
        <w:suppressAutoHyphens/>
        <w:rPr>
          <w:sz w:val="18"/>
        </w:rPr>
      </w:pPr>
      <w:r w:rsidRPr="007B1CC4">
        <w:rPr>
          <w:b/>
          <w:bCs/>
          <w:sz w:val="18"/>
        </w:rPr>
        <w:t xml:space="preserve">Date of Last Change:  </w:t>
      </w:r>
      <w:r w:rsidR="00BE2134" w:rsidRPr="007B1CC4">
        <w:rPr>
          <w:b/>
          <w:bCs/>
          <w:sz w:val="18"/>
        </w:rPr>
        <w:t>December 22,</w:t>
      </w:r>
      <w:r w:rsidRPr="007B1CC4">
        <w:rPr>
          <w:b/>
          <w:bCs/>
          <w:sz w:val="18"/>
        </w:rPr>
        <w:t xml:space="preserve"> 2025</w:t>
      </w:r>
    </w:p>
    <w:p w14:paraId="47EA2FAB" w14:textId="77777777" w:rsidR="001316CB" w:rsidRPr="007B1CC4" w:rsidRDefault="001316CB" w:rsidP="001316CB">
      <w:pPr>
        <w:widowControl/>
        <w:suppressAutoHyphens/>
        <w:rPr>
          <w:bCs/>
          <w:sz w:val="18"/>
        </w:rPr>
      </w:pPr>
      <w:r w:rsidRPr="007B1CC4">
        <w:rPr>
          <w:b/>
          <w:bCs/>
          <w:sz w:val="18"/>
        </w:rPr>
        <w:t>Authorizing, and Implemented or Interpreted Law:  4-41a-1206(10)</w:t>
      </w:r>
    </w:p>
    <w:p w14:paraId="7E339280" w14:textId="77777777" w:rsidR="001316CB" w:rsidRPr="007B1CC4" w:rsidRDefault="001316CB" w:rsidP="001316CB">
      <w:pPr>
        <w:widowControl/>
        <w:suppressAutoHyphens/>
        <w:rPr>
          <w:sz w:val="18"/>
        </w:rPr>
      </w:pPr>
    </w:p>
    <w:p w14:paraId="7148C075" w14:textId="142C89C1" w:rsidR="00AC60A3" w:rsidRPr="007B1CC4" w:rsidRDefault="00AC60A3" w:rsidP="001316CB">
      <w:pPr>
        <w:widowControl/>
        <w:suppressAutoHyphens/>
        <w:rPr>
          <w:rStyle w:val="s1"/>
          <w:spacing w:val="0"/>
          <w:sz w:val="18"/>
        </w:rPr>
      </w:pPr>
    </w:p>
    <w:sectPr w:rsidR="00AC60A3" w:rsidRPr="007B1CC4" w:rsidSect="007B1CC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302D2" w14:textId="77777777" w:rsidR="007C713B" w:rsidRDefault="007C713B" w:rsidP="00C17968">
      <w:r>
        <w:separator/>
      </w:r>
    </w:p>
  </w:endnote>
  <w:endnote w:type="continuationSeparator" w:id="0">
    <w:p w14:paraId="15F1A76C" w14:textId="77777777" w:rsidR="007C713B" w:rsidRDefault="007C713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A9841" w14:textId="77777777" w:rsidR="007C713B" w:rsidRDefault="007C713B" w:rsidP="00C17968">
      <w:r>
        <w:separator/>
      </w:r>
    </w:p>
  </w:footnote>
  <w:footnote w:type="continuationSeparator" w:id="0">
    <w:p w14:paraId="0EA65643" w14:textId="77777777" w:rsidR="007C713B" w:rsidRDefault="007C713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652FB"/>
    <w:rsid w:val="00075851"/>
    <w:rsid w:val="00081C50"/>
    <w:rsid w:val="00083289"/>
    <w:rsid w:val="00083BAD"/>
    <w:rsid w:val="00086A4C"/>
    <w:rsid w:val="00092D64"/>
    <w:rsid w:val="00094789"/>
    <w:rsid w:val="000A4085"/>
    <w:rsid w:val="000A5EAE"/>
    <w:rsid w:val="000A63C1"/>
    <w:rsid w:val="000B0C8F"/>
    <w:rsid w:val="000B46C4"/>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16CB"/>
    <w:rsid w:val="00133F0A"/>
    <w:rsid w:val="00135EC6"/>
    <w:rsid w:val="00136C69"/>
    <w:rsid w:val="00136D05"/>
    <w:rsid w:val="00136E6B"/>
    <w:rsid w:val="00140B4F"/>
    <w:rsid w:val="00140F86"/>
    <w:rsid w:val="001447C5"/>
    <w:rsid w:val="00151B36"/>
    <w:rsid w:val="00161125"/>
    <w:rsid w:val="001659D6"/>
    <w:rsid w:val="001769DF"/>
    <w:rsid w:val="0018100B"/>
    <w:rsid w:val="00197144"/>
    <w:rsid w:val="00197329"/>
    <w:rsid w:val="001B1B40"/>
    <w:rsid w:val="001C3DAB"/>
    <w:rsid w:val="001C4CEB"/>
    <w:rsid w:val="001D1A8C"/>
    <w:rsid w:val="001D45E8"/>
    <w:rsid w:val="001E1C76"/>
    <w:rsid w:val="001F4D4E"/>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0692E"/>
    <w:rsid w:val="00306DFA"/>
    <w:rsid w:val="003121D3"/>
    <w:rsid w:val="00315744"/>
    <w:rsid w:val="00316A41"/>
    <w:rsid w:val="003217E6"/>
    <w:rsid w:val="00335956"/>
    <w:rsid w:val="0033622C"/>
    <w:rsid w:val="00342459"/>
    <w:rsid w:val="003445E5"/>
    <w:rsid w:val="00351E76"/>
    <w:rsid w:val="00373FE5"/>
    <w:rsid w:val="00380D52"/>
    <w:rsid w:val="003811E6"/>
    <w:rsid w:val="00393151"/>
    <w:rsid w:val="00393F32"/>
    <w:rsid w:val="003B3ED7"/>
    <w:rsid w:val="003B540F"/>
    <w:rsid w:val="003B6116"/>
    <w:rsid w:val="003C2220"/>
    <w:rsid w:val="003D11EF"/>
    <w:rsid w:val="003D3B77"/>
    <w:rsid w:val="003D601B"/>
    <w:rsid w:val="003E13A0"/>
    <w:rsid w:val="003E6785"/>
    <w:rsid w:val="003F64A7"/>
    <w:rsid w:val="003F6A4F"/>
    <w:rsid w:val="00402912"/>
    <w:rsid w:val="00403755"/>
    <w:rsid w:val="0040606B"/>
    <w:rsid w:val="00414E0D"/>
    <w:rsid w:val="00430473"/>
    <w:rsid w:val="0043274F"/>
    <w:rsid w:val="004423A3"/>
    <w:rsid w:val="0045285A"/>
    <w:rsid w:val="00452B2A"/>
    <w:rsid w:val="00457B35"/>
    <w:rsid w:val="00462360"/>
    <w:rsid w:val="00465A08"/>
    <w:rsid w:val="004803F6"/>
    <w:rsid w:val="004A031A"/>
    <w:rsid w:val="004A5D42"/>
    <w:rsid w:val="004B211A"/>
    <w:rsid w:val="004B7F3B"/>
    <w:rsid w:val="004C20EA"/>
    <w:rsid w:val="004C4015"/>
    <w:rsid w:val="004C74B6"/>
    <w:rsid w:val="004D328F"/>
    <w:rsid w:val="004D4B83"/>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5160F"/>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195C"/>
    <w:rsid w:val="00772653"/>
    <w:rsid w:val="007769E4"/>
    <w:rsid w:val="0079156B"/>
    <w:rsid w:val="00793010"/>
    <w:rsid w:val="00795D41"/>
    <w:rsid w:val="00796BA5"/>
    <w:rsid w:val="007A06AE"/>
    <w:rsid w:val="007A1FEA"/>
    <w:rsid w:val="007A3C0E"/>
    <w:rsid w:val="007A4D6B"/>
    <w:rsid w:val="007A6137"/>
    <w:rsid w:val="007B1CC4"/>
    <w:rsid w:val="007B4AED"/>
    <w:rsid w:val="007B6C82"/>
    <w:rsid w:val="007C66C3"/>
    <w:rsid w:val="007C713B"/>
    <w:rsid w:val="007D0B87"/>
    <w:rsid w:val="007D1F9D"/>
    <w:rsid w:val="007D47E7"/>
    <w:rsid w:val="007E0280"/>
    <w:rsid w:val="008077EE"/>
    <w:rsid w:val="00807BB1"/>
    <w:rsid w:val="008315F8"/>
    <w:rsid w:val="00835660"/>
    <w:rsid w:val="0084069F"/>
    <w:rsid w:val="00840B24"/>
    <w:rsid w:val="00844B36"/>
    <w:rsid w:val="00845858"/>
    <w:rsid w:val="0085485F"/>
    <w:rsid w:val="008602D3"/>
    <w:rsid w:val="008637F2"/>
    <w:rsid w:val="008705CB"/>
    <w:rsid w:val="00872C04"/>
    <w:rsid w:val="00880E86"/>
    <w:rsid w:val="00880F5D"/>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42B7F"/>
    <w:rsid w:val="009510CD"/>
    <w:rsid w:val="00964E49"/>
    <w:rsid w:val="00964F8C"/>
    <w:rsid w:val="0096619E"/>
    <w:rsid w:val="00986B62"/>
    <w:rsid w:val="0099724C"/>
    <w:rsid w:val="009A2A78"/>
    <w:rsid w:val="009A4D73"/>
    <w:rsid w:val="009B5790"/>
    <w:rsid w:val="009C0017"/>
    <w:rsid w:val="009C2A6A"/>
    <w:rsid w:val="009D34B6"/>
    <w:rsid w:val="009E5ABD"/>
    <w:rsid w:val="009E75B1"/>
    <w:rsid w:val="009F0DEE"/>
    <w:rsid w:val="00A0145C"/>
    <w:rsid w:val="00A107F6"/>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0F5"/>
    <w:rsid w:val="00B132A1"/>
    <w:rsid w:val="00B1423E"/>
    <w:rsid w:val="00B33858"/>
    <w:rsid w:val="00B41350"/>
    <w:rsid w:val="00B41A6C"/>
    <w:rsid w:val="00B535B4"/>
    <w:rsid w:val="00B606F6"/>
    <w:rsid w:val="00B61024"/>
    <w:rsid w:val="00B62A8D"/>
    <w:rsid w:val="00B67C05"/>
    <w:rsid w:val="00B7281E"/>
    <w:rsid w:val="00B90B4E"/>
    <w:rsid w:val="00B974B0"/>
    <w:rsid w:val="00BC5E52"/>
    <w:rsid w:val="00BD38D5"/>
    <w:rsid w:val="00BE2134"/>
    <w:rsid w:val="00BE6E0F"/>
    <w:rsid w:val="00BF1E48"/>
    <w:rsid w:val="00BF365E"/>
    <w:rsid w:val="00C0140F"/>
    <w:rsid w:val="00C07C48"/>
    <w:rsid w:val="00C13CD1"/>
    <w:rsid w:val="00C17425"/>
    <w:rsid w:val="00C17968"/>
    <w:rsid w:val="00C17B64"/>
    <w:rsid w:val="00C2383B"/>
    <w:rsid w:val="00C23C18"/>
    <w:rsid w:val="00C23C46"/>
    <w:rsid w:val="00C26CDA"/>
    <w:rsid w:val="00C27DED"/>
    <w:rsid w:val="00C339A4"/>
    <w:rsid w:val="00C374EB"/>
    <w:rsid w:val="00C41EBB"/>
    <w:rsid w:val="00C4256B"/>
    <w:rsid w:val="00C42A03"/>
    <w:rsid w:val="00C475B6"/>
    <w:rsid w:val="00C55C41"/>
    <w:rsid w:val="00C649A4"/>
    <w:rsid w:val="00C7075A"/>
    <w:rsid w:val="00C71AAC"/>
    <w:rsid w:val="00C84E19"/>
    <w:rsid w:val="00C864C3"/>
    <w:rsid w:val="00C979BC"/>
    <w:rsid w:val="00CA2A17"/>
    <w:rsid w:val="00CA4226"/>
    <w:rsid w:val="00CA4306"/>
    <w:rsid w:val="00CA642C"/>
    <w:rsid w:val="00CB214B"/>
    <w:rsid w:val="00CC0414"/>
    <w:rsid w:val="00CC1DE2"/>
    <w:rsid w:val="00CC2F8D"/>
    <w:rsid w:val="00CD7FD5"/>
    <w:rsid w:val="00CE4429"/>
    <w:rsid w:val="00CE4EB2"/>
    <w:rsid w:val="00CF0B98"/>
    <w:rsid w:val="00CF36B3"/>
    <w:rsid w:val="00CF7BCE"/>
    <w:rsid w:val="00D01884"/>
    <w:rsid w:val="00D04355"/>
    <w:rsid w:val="00D06A99"/>
    <w:rsid w:val="00D11CC3"/>
    <w:rsid w:val="00D127A3"/>
    <w:rsid w:val="00D13EC4"/>
    <w:rsid w:val="00D17C88"/>
    <w:rsid w:val="00D222F2"/>
    <w:rsid w:val="00D22416"/>
    <w:rsid w:val="00D2400F"/>
    <w:rsid w:val="00D26D4A"/>
    <w:rsid w:val="00D2763B"/>
    <w:rsid w:val="00D31690"/>
    <w:rsid w:val="00D330D2"/>
    <w:rsid w:val="00D34C23"/>
    <w:rsid w:val="00D41554"/>
    <w:rsid w:val="00D41ABA"/>
    <w:rsid w:val="00D45EE5"/>
    <w:rsid w:val="00D66564"/>
    <w:rsid w:val="00D6785E"/>
    <w:rsid w:val="00D71636"/>
    <w:rsid w:val="00D74061"/>
    <w:rsid w:val="00D76607"/>
    <w:rsid w:val="00D7747A"/>
    <w:rsid w:val="00D96075"/>
    <w:rsid w:val="00D97919"/>
    <w:rsid w:val="00DA6D1D"/>
    <w:rsid w:val="00DA783E"/>
    <w:rsid w:val="00DB0C3F"/>
    <w:rsid w:val="00DB3AE0"/>
    <w:rsid w:val="00DC0B97"/>
    <w:rsid w:val="00DC1529"/>
    <w:rsid w:val="00DC51B5"/>
    <w:rsid w:val="00DE4AAB"/>
    <w:rsid w:val="00E06657"/>
    <w:rsid w:val="00E12901"/>
    <w:rsid w:val="00E2296E"/>
    <w:rsid w:val="00E23A0A"/>
    <w:rsid w:val="00E33057"/>
    <w:rsid w:val="00E33275"/>
    <w:rsid w:val="00E373E2"/>
    <w:rsid w:val="00E52C8D"/>
    <w:rsid w:val="00E536BE"/>
    <w:rsid w:val="00E557EC"/>
    <w:rsid w:val="00E62DBC"/>
    <w:rsid w:val="00E66EE8"/>
    <w:rsid w:val="00E71631"/>
    <w:rsid w:val="00E71E51"/>
    <w:rsid w:val="00E77FF3"/>
    <w:rsid w:val="00E83AE6"/>
    <w:rsid w:val="00E91C27"/>
    <w:rsid w:val="00E945AC"/>
    <w:rsid w:val="00EB0212"/>
    <w:rsid w:val="00EB3D35"/>
    <w:rsid w:val="00EC01D2"/>
    <w:rsid w:val="00EC028B"/>
    <w:rsid w:val="00EC6C8D"/>
    <w:rsid w:val="00EC7C9D"/>
    <w:rsid w:val="00ED6764"/>
    <w:rsid w:val="00ED6F3F"/>
    <w:rsid w:val="00EE2657"/>
    <w:rsid w:val="00EE6D3C"/>
    <w:rsid w:val="00EF40BC"/>
    <w:rsid w:val="00F04D62"/>
    <w:rsid w:val="00F05966"/>
    <w:rsid w:val="00F0658D"/>
    <w:rsid w:val="00F1268F"/>
    <w:rsid w:val="00F136AB"/>
    <w:rsid w:val="00F278A7"/>
    <w:rsid w:val="00F31687"/>
    <w:rsid w:val="00F35997"/>
    <w:rsid w:val="00F40EA6"/>
    <w:rsid w:val="00F41794"/>
    <w:rsid w:val="00F42C14"/>
    <w:rsid w:val="00F51D8F"/>
    <w:rsid w:val="00F63F1D"/>
    <w:rsid w:val="00F700BD"/>
    <w:rsid w:val="00F72AC8"/>
    <w:rsid w:val="00F86B4A"/>
    <w:rsid w:val="00F87DE9"/>
    <w:rsid w:val="00F91CB5"/>
    <w:rsid w:val="00F95ADD"/>
    <w:rsid w:val="00F96E65"/>
    <w:rsid w:val="00FA0D76"/>
    <w:rsid w:val="00FB59FC"/>
    <w:rsid w:val="00FC0A62"/>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1984</Words>
  <Characters>11310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2025-12-23T19:33:00Z</dcterms:created>
  <dcterms:modified xsi:type="dcterms:W3CDTF">2025-12-23T19:33:00Z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7eaf3d1b-380a-46ad-a0a8-1bfc77f7fcaa</vt:lpwstr>
  </property>
</Properties>
</file>