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2248E" w14:textId="77777777" w:rsidR="00AD60AE" w:rsidRPr="00F52EA2" w:rsidRDefault="00AD60AE" w:rsidP="00AD60AE">
      <w:pPr>
        <w:widowControl/>
        <w:suppressAutoHyphens/>
        <w:rPr>
          <w:sz w:val="18"/>
          <w:szCs w:val="18"/>
        </w:rPr>
      </w:pPr>
      <w:r w:rsidRPr="00F52EA2">
        <w:rPr>
          <w:b/>
          <w:sz w:val="18"/>
          <w:szCs w:val="18"/>
        </w:rPr>
        <w:t>R68.  Agriculture and Food, Plant Industry.</w:t>
      </w:r>
    </w:p>
    <w:p w14:paraId="51314409" w14:textId="20472832" w:rsidR="00AD60AE" w:rsidRPr="00F52EA2" w:rsidRDefault="00AD60AE" w:rsidP="00AD60AE">
      <w:pPr>
        <w:widowControl/>
        <w:suppressAutoHyphens/>
        <w:rPr>
          <w:sz w:val="18"/>
          <w:szCs w:val="18"/>
        </w:rPr>
      </w:pPr>
      <w:r w:rsidRPr="00F52EA2">
        <w:rPr>
          <w:b/>
          <w:sz w:val="18"/>
          <w:szCs w:val="18"/>
        </w:rPr>
        <w:t>R68-3.  Utah Plant Food Rule.</w:t>
      </w:r>
    </w:p>
    <w:p w14:paraId="6A0BEF0C" w14:textId="64DDC8D9" w:rsidR="00AD60AE" w:rsidRPr="00F52EA2" w:rsidRDefault="00AD60AE" w:rsidP="00AD60AE">
      <w:pPr>
        <w:widowControl/>
        <w:suppressAutoHyphens/>
        <w:rPr>
          <w:sz w:val="18"/>
          <w:szCs w:val="18"/>
        </w:rPr>
      </w:pPr>
      <w:r w:rsidRPr="00F52EA2">
        <w:rPr>
          <w:b/>
          <w:sz w:val="18"/>
          <w:szCs w:val="18"/>
        </w:rPr>
        <w:t>R68-3-1.  Authority.</w:t>
      </w:r>
    </w:p>
    <w:p w14:paraId="66DEA122" w14:textId="67F7C89D" w:rsidR="00AD60AE" w:rsidRPr="00F52EA2" w:rsidRDefault="00AD60AE" w:rsidP="00AD60AE">
      <w:pPr>
        <w:widowControl/>
        <w:suppressAutoHyphens/>
        <w:rPr>
          <w:sz w:val="18"/>
          <w:szCs w:val="18"/>
        </w:rPr>
      </w:pPr>
      <w:r w:rsidRPr="00F52EA2">
        <w:rPr>
          <w:sz w:val="18"/>
          <w:szCs w:val="18"/>
        </w:rPr>
        <w:tab/>
        <w:t>Subsection 4-2-103(1)(</w:t>
      </w:r>
      <w:proofErr w:type="spellStart"/>
      <w:r w:rsidRPr="00F52EA2">
        <w:rPr>
          <w:sz w:val="18"/>
          <w:szCs w:val="18"/>
        </w:rPr>
        <w:t>i</w:t>
      </w:r>
      <w:proofErr w:type="spellEnd"/>
      <w:r w:rsidRPr="00F52EA2">
        <w:rPr>
          <w:sz w:val="18"/>
          <w:szCs w:val="18"/>
        </w:rPr>
        <w:t>) and Section 4-13-110 authorize the department to adopt rules to enforce Title 4, Chapter 13, the Utah Plant Food Act and to adopt the official terms, tables, definitions, and statements adopted by the Association of American Plant Food Control officials (AAPFCO) and published in the Official Publication No. 78.</w:t>
      </w:r>
    </w:p>
    <w:p w14:paraId="05D88646" w14:textId="77777777" w:rsidR="00AD60AE" w:rsidRPr="00F52EA2" w:rsidRDefault="00AD60AE" w:rsidP="00AD60AE">
      <w:pPr>
        <w:widowControl/>
        <w:suppressAutoHyphens/>
        <w:rPr>
          <w:sz w:val="18"/>
          <w:szCs w:val="18"/>
        </w:rPr>
      </w:pPr>
    </w:p>
    <w:p w14:paraId="5EA3D4A4" w14:textId="77777777" w:rsidR="00AD60AE" w:rsidRPr="00F52EA2" w:rsidRDefault="00AD60AE" w:rsidP="00AD60AE">
      <w:pPr>
        <w:widowControl/>
        <w:suppressAutoHyphens/>
        <w:rPr>
          <w:bCs/>
          <w:sz w:val="18"/>
          <w:szCs w:val="18"/>
        </w:rPr>
      </w:pPr>
      <w:r w:rsidRPr="00F52EA2">
        <w:rPr>
          <w:b/>
          <w:bCs/>
          <w:sz w:val="18"/>
          <w:szCs w:val="18"/>
        </w:rPr>
        <w:t>R68-3-2.  Purpose.</w:t>
      </w:r>
    </w:p>
    <w:p w14:paraId="4E216DAC" w14:textId="29CD1D87" w:rsidR="00AD60AE" w:rsidRPr="00F52EA2" w:rsidRDefault="00AD60AE" w:rsidP="00AD60AE">
      <w:pPr>
        <w:widowControl/>
        <w:suppressAutoHyphens/>
        <w:rPr>
          <w:sz w:val="18"/>
          <w:szCs w:val="18"/>
        </w:rPr>
      </w:pPr>
      <w:r w:rsidRPr="00F52EA2">
        <w:rPr>
          <w:sz w:val="18"/>
          <w:szCs w:val="18"/>
        </w:rPr>
        <w:tab/>
        <w:t>This rule establishes the process of registration and labeling of products, defines ingredient deficiencies, and defines unlawful acts that violate Title 4, Chapter 13, the Utah Plant Food Act.</w:t>
      </w:r>
    </w:p>
    <w:p w14:paraId="73792E02" w14:textId="77777777" w:rsidR="00AD60AE" w:rsidRPr="00F52EA2" w:rsidRDefault="00AD60AE" w:rsidP="00AD60AE">
      <w:pPr>
        <w:widowControl/>
        <w:suppressAutoHyphens/>
        <w:rPr>
          <w:sz w:val="18"/>
          <w:szCs w:val="18"/>
        </w:rPr>
      </w:pPr>
    </w:p>
    <w:p w14:paraId="4DA3E1A2" w14:textId="77777777" w:rsidR="00AD60AE" w:rsidRPr="00F52EA2" w:rsidRDefault="00AD60AE" w:rsidP="00AD60AE">
      <w:pPr>
        <w:widowControl/>
        <w:suppressAutoHyphens/>
        <w:rPr>
          <w:sz w:val="18"/>
          <w:szCs w:val="18"/>
        </w:rPr>
      </w:pPr>
      <w:r w:rsidRPr="00F52EA2">
        <w:rPr>
          <w:b/>
          <w:sz w:val="18"/>
          <w:szCs w:val="18"/>
        </w:rPr>
        <w:t>R68-3-3.  Product Registration.</w:t>
      </w:r>
    </w:p>
    <w:p w14:paraId="2313D440" w14:textId="3DE2AF59" w:rsidR="00AD60AE" w:rsidRPr="00F52EA2" w:rsidRDefault="00AD60AE" w:rsidP="00AD60AE">
      <w:pPr>
        <w:widowControl/>
        <w:suppressAutoHyphens/>
        <w:rPr>
          <w:sz w:val="18"/>
          <w:szCs w:val="18"/>
        </w:rPr>
      </w:pPr>
      <w:r w:rsidRPr="00F52EA2">
        <w:rPr>
          <w:sz w:val="18"/>
          <w:szCs w:val="18"/>
        </w:rPr>
        <w:tab/>
        <w:t>(1)  A registrant shall register any plant food distributed in Utah with the department, unless labeling shows that the product does not claim to contain any plant nutrients or beneficial plant growth properties.</w:t>
      </w:r>
    </w:p>
    <w:p w14:paraId="4AC27144" w14:textId="5BBCAB72" w:rsidR="00AD60AE" w:rsidRPr="00F52EA2" w:rsidRDefault="00AD60AE" w:rsidP="00AD60AE">
      <w:pPr>
        <w:widowControl/>
        <w:suppressAutoHyphens/>
        <w:rPr>
          <w:sz w:val="18"/>
          <w:szCs w:val="18"/>
        </w:rPr>
      </w:pPr>
      <w:r w:rsidRPr="00F52EA2">
        <w:rPr>
          <w:sz w:val="18"/>
          <w:szCs w:val="18"/>
        </w:rPr>
        <w:tab/>
        <w:t>(2)  The department may exempt the following from registration in Utah:</w:t>
      </w:r>
    </w:p>
    <w:p w14:paraId="20802BA0" w14:textId="700A1C7D" w:rsidR="00AD60AE" w:rsidRPr="00F52EA2" w:rsidRDefault="00AD60AE" w:rsidP="00AD60AE">
      <w:pPr>
        <w:widowControl/>
        <w:suppressAutoHyphens/>
        <w:rPr>
          <w:sz w:val="18"/>
          <w:szCs w:val="18"/>
        </w:rPr>
      </w:pPr>
      <w:r w:rsidRPr="00F52EA2">
        <w:rPr>
          <w:sz w:val="18"/>
          <w:szCs w:val="18"/>
        </w:rPr>
        <w:tab/>
        <w:t>(a)  biochar;</w:t>
      </w:r>
    </w:p>
    <w:p w14:paraId="70165E82" w14:textId="4EF3CCB6" w:rsidR="00AD60AE" w:rsidRPr="00F52EA2" w:rsidRDefault="00AD60AE" w:rsidP="00AD60AE">
      <w:pPr>
        <w:widowControl/>
        <w:suppressAutoHyphens/>
        <w:rPr>
          <w:sz w:val="18"/>
          <w:szCs w:val="18"/>
        </w:rPr>
      </w:pPr>
      <w:r w:rsidRPr="00F52EA2">
        <w:rPr>
          <w:sz w:val="18"/>
          <w:szCs w:val="18"/>
        </w:rPr>
        <w:tab/>
        <w:t>(b)  compost;</w:t>
      </w:r>
    </w:p>
    <w:p w14:paraId="253482B6" w14:textId="77777777" w:rsidR="00AD60AE" w:rsidRPr="00F52EA2" w:rsidRDefault="00AD60AE" w:rsidP="00AD60AE">
      <w:pPr>
        <w:widowControl/>
        <w:suppressAutoHyphens/>
        <w:rPr>
          <w:sz w:val="18"/>
          <w:szCs w:val="18"/>
        </w:rPr>
      </w:pPr>
      <w:r w:rsidRPr="00F52EA2">
        <w:rPr>
          <w:sz w:val="18"/>
          <w:szCs w:val="18"/>
        </w:rPr>
        <w:tab/>
        <w:t>(c)  coir;</w:t>
      </w:r>
    </w:p>
    <w:p w14:paraId="6A873FBB" w14:textId="77777777" w:rsidR="00AD60AE" w:rsidRPr="00F52EA2" w:rsidRDefault="00AD60AE" w:rsidP="00AD60AE">
      <w:pPr>
        <w:widowControl/>
        <w:suppressAutoHyphens/>
        <w:rPr>
          <w:sz w:val="18"/>
          <w:szCs w:val="18"/>
        </w:rPr>
      </w:pPr>
      <w:r w:rsidRPr="00F52EA2">
        <w:rPr>
          <w:sz w:val="18"/>
          <w:szCs w:val="18"/>
        </w:rPr>
        <w:tab/>
        <w:t>(d)  garden soil;</w:t>
      </w:r>
    </w:p>
    <w:p w14:paraId="61A4CAF0" w14:textId="77777777" w:rsidR="00AD60AE" w:rsidRPr="00F52EA2" w:rsidRDefault="00AD60AE" w:rsidP="00AD60AE">
      <w:pPr>
        <w:widowControl/>
        <w:suppressAutoHyphens/>
        <w:rPr>
          <w:sz w:val="18"/>
          <w:szCs w:val="18"/>
        </w:rPr>
      </w:pPr>
      <w:r w:rsidRPr="00F52EA2">
        <w:rPr>
          <w:sz w:val="18"/>
          <w:szCs w:val="18"/>
        </w:rPr>
        <w:tab/>
        <w:t>(e)  gypsum;</w:t>
      </w:r>
    </w:p>
    <w:p w14:paraId="0A0A4982" w14:textId="77777777" w:rsidR="00AD60AE" w:rsidRPr="00F52EA2" w:rsidRDefault="00AD60AE" w:rsidP="00AD60AE">
      <w:pPr>
        <w:widowControl/>
        <w:suppressAutoHyphens/>
        <w:rPr>
          <w:sz w:val="18"/>
          <w:szCs w:val="18"/>
        </w:rPr>
      </w:pPr>
      <w:r w:rsidRPr="00F52EA2">
        <w:rPr>
          <w:sz w:val="18"/>
          <w:szCs w:val="18"/>
        </w:rPr>
        <w:tab/>
        <w:t>(f)  hay;</w:t>
      </w:r>
    </w:p>
    <w:p w14:paraId="47B2BE6B" w14:textId="7A015222" w:rsidR="00AD60AE" w:rsidRPr="00F52EA2" w:rsidRDefault="00AD60AE" w:rsidP="00AD60AE">
      <w:pPr>
        <w:widowControl/>
        <w:suppressAutoHyphens/>
        <w:rPr>
          <w:sz w:val="18"/>
          <w:szCs w:val="18"/>
        </w:rPr>
      </w:pPr>
      <w:r w:rsidRPr="00F52EA2">
        <w:rPr>
          <w:sz w:val="18"/>
          <w:szCs w:val="18"/>
        </w:rPr>
        <w:tab/>
        <w:t>(g)  landscape soil or topsoil;</w:t>
      </w:r>
    </w:p>
    <w:p w14:paraId="2F3FDF92" w14:textId="77777777" w:rsidR="00AD60AE" w:rsidRPr="00F52EA2" w:rsidRDefault="00AD60AE" w:rsidP="00AD60AE">
      <w:pPr>
        <w:widowControl/>
        <w:suppressAutoHyphens/>
        <w:rPr>
          <w:sz w:val="18"/>
          <w:szCs w:val="18"/>
        </w:rPr>
      </w:pPr>
      <w:r w:rsidRPr="00F52EA2">
        <w:rPr>
          <w:sz w:val="18"/>
          <w:szCs w:val="18"/>
        </w:rPr>
        <w:tab/>
        <w:t>(h)  leaf mold;</w:t>
      </w:r>
    </w:p>
    <w:p w14:paraId="4070AF91" w14:textId="1FB8D166" w:rsidR="00AD60AE" w:rsidRPr="00F52EA2" w:rsidRDefault="00AD60AE" w:rsidP="00AD60AE">
      <w:pPr>
        <w:widowControl/>
        <w:suppressAutoHyphens/>
        <w:rPr>
          <w:sz w:val="18"/>
          <w:szCs w:val="18"/>
        </w:rPr>
      </w:pPr>
      <w:r w:rsidRPr="00F52EA2">
        <w:rPr>
          <w:sz w:val="18"/>
          <w:szCs w:val="18"/>
        </w:rPr>
        <w:tab/>
        <w:t>(</w:t>
      </w:r>
      <w:proofErr w:type="spellStart"/>
      <w:r w:rsidRPr="00F52EA2">
        <w:rPr>
          <w:sz w:val="18"/>
          <w:szCs w:val="18"/>
        </w:rPr>
        <w:t>i</w:t>
      </w:r>
      <w:proofErr w:type="spellEnd"/>
      <w:r w:rsidRPr="00F52EA2">
        <w:rPr>
          <w:sz w:val="18"/>
          <w:szCs w:val="18"/>
        </w:rPr>
        <w:t>)  mulch or wood products;</w:t>
      </w:r>
    </w:p>
    <w:p w14:paraId="3E0C2B1D" w14:textId="1045F107" w:rsidR="00AD60AE" w:rsidRPr="00F52EA2" w:rsidRDefault="00AD60AE" w:rsidP="00AD60AE">
      <w:pPr>
        <w:widowControl/>
        <w:suppressAutoHyphens/>
        <w:rPr>
          <w:sz w:val="18"/>
          <w:szCs w:val="18"/>
        </w:rPr>
      </w:pPr>
      <w:r w:rsidRPr="00F52EA2">
        <w:rPr>
          <w:sz w:val="18"/>
          <w:szCs w:val="18"/>
        </w:rPr>
        <w:tab/>
        <w:t>(j)  nitrogen stabilizers;</w:t>
      </w:r>
    </w:p>
    <w:p w14:paraId="73DEBE6A" w14:textId="663C4B25" w:rsidR="00AD60AE" w:rsidRPr="00F52EA2" w:rsidRDefault="00AD60AE" w:rsidP="00AD60AE">
      <w:pPr>
        <w:widowControl/>
        <w:suppressAutoHyphens/>
        <w:rPr>
          <w:sz w:val="18"/>
          <w:szCs w:val="18"/>
        </w:rPr>
      </w:pPr>
      <w:r w:rsidRPr="00F52EA2">
        <w:rPr>
          <w:sz w:val="18"/>
          <w:szCs w:val="18"/>
        </w:rPr>
        <w:tab/>
        <w:t>(k)  peat;</w:t>
      </w:r>
    </w:p>
    <w:p w14:paraId="433BE244" w14:textId="321BADB9" w:rsidR="00AD60AE" w:rsidRPr="00F52EA2" w:rsidRDefault="00AD60AE" w:rsidP="00AD60AE">
      <w:pPr>
        <w:widowControl/>
        <w:suppressAutoHyphens/>
        <w:rPr>
          <w:sz w:val="18"/>
          <w:szCs w:val="18"/>
        </w:rPr>
      </w:pPr>
      <w:r w:rsidRPr="00F52EA2">
        <w:rPr>
          <w:sz w:val="18"/>
          <w:szCs w:val="18"/>
        </w:rPr>
        <w:tab/>
        <w:t>(l)  perlite;</w:t>
      </w:r>
    </w:p>
    <w:p w14:paraId="6B642AFC" w14:textId="6AE45F88" w:rsidR="00AD60AE" w:rsidRPr="00F52EA2" w:rsidRDefault="00AD60AE" w:rsidP="00AD60AE">
      <w:pPr>
        <w:widowControl/>
        <w:suppressAutoHyphens/>
        <w:rPr>
          <w:sz w:val="18"/>
          <w:szCs w:val="18"/>
        </w:rPr>
      </w:pPr>
      <w:r w:rsidRPr="00F52EA2">
        <w:rPr>
          <w:sz w:val="18"/>
          <w:szCs w:val="18"/>
        </w:rPr>
        <w:tab/>
        <w:t>(m)  plant inoculant;</w:t>
      </w:r>
    </w:p>
    <w:p w14:paraId="7CD1EF0B" w14:textId="5631CFA1" w:rsidR="00AD60AE" w:rsidRPr="00F52EA2" w:rsidRDefault="00AD60AE" w:rsidP="00AD60AE">
      <w:pPr>
        <w:widowControl/>
        <w:suppressAutoHyphens/>
        <w:rPr>
          <w:sz w:val="18"/>
          <w:szCs w:val="18"/>
        </w:rPr>
      </w:pPr>
      <w:r w:rsidRPr="00F52EA2">
        <w:rPr>
          <w:sz w:val="18"/>
          <w:szCs w:val="18"/>
        </w:rPr>
        <w:tab/>
        <w:t>(n)  planting mix;</w:t>
      </w:r>
    </w:p>
    <w:p w14:paraId="1CCC6F9C" w14:textId="582B45D8" w:rsidR="00AD60AE" w:rsidRPr="00F52EA2" w:rsidRDefault="00AD60AE" w:rsidP="00AD60AE">
      <w:pPr>
        <w:widowControl/>
        <w:suppressAutoHyphens/>
        <w:rPr>
          <w:sz w:val="18"/>
          <w:szCs w:val="18"/>
        </w:rPr>
      </w:pPr>
      <w:r w:rsidRPr="00F52EA2">
        <w:rPr>
          <w:sz w:val="18"/>
          <w:szCs w:val="18"/>
        </w:rPr>
        <w:tab/>
        <w:t>(o)  potting mix;</w:t>
      </w:r>
    </w:p>
    <w:p w14:paraId="69E27BD3" w14:textId="77777777" w:rsidR="00AD60AE" w:rsidRPr="00F52EA2" w:rsidRDefault="00AD60AE" w:rsidP="00AD60AE">
      <w:pPr>
        <w:widowControl/>
        <w:suppressAutoHyphens/>
        <w:rPr>
          <w:sz w:val="18"/>
          <w:szCs w:val="18"/>
        </w:rPr>
      </w:pPr>
      <w:r w:rsidRPr="00F52EA2">
        <w:rPr>
          <w:sz w:val="18"/>
          <w:szCs w:val="18"/>
        </w:rPr>
        <w:tab/>
        <w:t>(p)  sand;</w:t>
      </w:r>
    </w:p>
    <w:p w14:paraId="30B54AC9" w14:textId="0F2343C4" w:rsidR="00AD60AE" w:rsidRPr="00F52EA2" w:rsidRDefault="00AD60AE" w:rsidP="00AD60AE">
      <w:pPr>
        <w:widowControl/>
        <w:suppressAutoHyphens/>
        <w:rPr>
          <w:sz w:val="18"/>
          <w:szCs w:val="18"/>
        </w:rPr>
      </w:pPr>
      <w:r w:rsidRPr="00F52EA2">
        <w:rPr>
          <w:sz w:val="18"/>
          <w:szCs w:val="18"/>
        </w:rPr>
        <w:tab/>
        <w:t>(q)  seed inoculant;</w:t>
      </w:r>
    </w:p>
    <w:p w14:paraId="3602C189" w14:textId="77777777" w:rsidR="00AD60AE" w:rsidRPr="00F52EA2" w:rsidRDefault="00AD60AE" w:rsidP="00AD60AE">
      <w:pPr>
        <w:widowControl/>
        <w:suppressAutoHyphens/>
        <w:rPr>
          <w:sz w:val="18"/>
          <w:szCs w:val="18"/>
        </w:rPr>
      </w:pPr>
      <w:r w:rsidRPr="00F52EA2">
        <w:rPr>
          <w:sz w:val="18"/>
          <w:szCs w:val="18"/>
        </w:rPr>
        <w:tab/>
        <w:t>(r)  soilless growing media;</w:t>
      </w:r>
    </w:p>
    <w:p w14:paraId="22C7674F" w14:textId="77777777" w:rsidR="00AD60AE" w:rsidRPr="00F52EA2" w:rsidRDefault="00AD60AE" w:rsidP="00AD60AE">
      <w:pPr>
        <w:widowControl/>
        <w:suppressAutoHyphens/>
        <w:rPr>
          <w:sz w:val="18"/>
          <w:szCs w:val="18"/>
        </w:rPr>
      </w:pPr>
      <w:r w:rsidRPr="00F52EA2">
        <w:rPr>
          <w:sz w:val="18"/>
          <w:szCs w:val="18"/>
        </w:rPr>
        <w:tab/>
        <w:t>(s)  straw;</w:t>
      </w:r>
    </w:p>
    <w:p w14:paraId="56D30090" w14:textId="56EB76F1" w:rsidR="00AD60AE" w:rsidRPr="00F52EA2" w:rsidRDefault="00AD60AE" w:rsidP="00AD60AE">
      <w:pPr>
        <w:widowControl/>
        <w:suppressAutoHyphens/>
        <w:rPr>
          <w:sz w:val="18"/>
          <w:szCs w:val="18"/>
        </w:rPr>
      </w:pPr>
      <w:r w:rsidRPr="00F52EA2">
        <w:rPr>
          <w:sz w:val="18"/>
          <w:szCs w:val="18"/>
        </w:rPr>
        <w:tab/>
        <w:t>(t)  vermicompost; and</w:t>
      </w:r>
    </w:p>
    <w:p w14:paraId="77C97D5C" w14:textId="223ED2FF" w:rsidR="00AD60AE" w:rsidRPr="00F52EA2" w:rsidRDefault="00AD60AE" w:rsidP="00AD60AE">
      <w:pPr>
        <w:widowControl/>
        <w:suppressAutoHyphens/>
        <w:rPr>
          <w:sz w:val="18"/>
          <w:szCs w:val="18"/>
        </w:rPr>
      </w:pPr>
      <w:r w:rsidRPr="00F52EA2">
        <w:rPr>
          <w:sz w:val="18"/>
          <w:szCs w:val="18"/>
        </w:rPr>
        <w:tab/>
        <w:t>(u)  vermiculite.</w:t>
      </w:r>
    </w:p>
    <w:p w14:paraId="7656B0C6" w14:textId="47E0D588" w:rsidR="00AD60AE" w:rsidRPr="00F52EA2" w:rsidRDefault="00AD60AE" w:rsidP="00AD60AE">
      <w:pPr>
        <w:widowControl/>
        <w:suppressAutoHyphens/>
        <w:rPr>
          <w:sz w:val="18"/>
          <w:szCs w:val="18"/>
        </w:rPr>
      </w:pPr>
      <w:r w:rsidRPr="00F52EA2">
        <w:rPr>
          <w:sz w:val="18"/>
          <w:szCs w:val="18"/>
        </w:rPr>
        <w:tab/>
        <w:t>(3)(a)  The department may require submission of the complete formula of any plant food for administration of Title 4, Chapter 13, the Utah Plant Food Act, and this rule.</w:t>
      </w:r>
    </w:p>
    <w:p w14:paraId="76C8A1E6" w14:textId="77777777" w:rsidR="00AD60AE" w:rsidRPr="00F52EA2" w:rsidRDefault="00AD60AE" w:rsidP="00AD60AE">
      <w:pPr>
        <w:widowControl/>
        <w:suppressAutoHyphens/>
        <w:rPr>
          <w:sz w:val="18"/>
          <w:szCs w:val="18"/>
        </w:rPr>
      </w:pPr>
      <w:r w:rsidRPr="00F52EA2">
        <w:rPr>
          <w:sz w:val="18"/>
          <w:szCs w:val="18"/>
        </w:rPr>
        <w:tab/>
        <w:t>(b)  If it appears to the department that the composition of the product warrants the proposed claims for it, and if the product and its labeling and any other information that may be required to be submitted complies with the requirements of the Act, the product shall be registered.</w:t>
      </w:r>
    </w:p>
    <w:p w14:paraId="09F7EC12" w14:textId="3BC29EC9" w:rsidR="00AD60AE" w:rsidRPr="00F52EA2" w:rsidRDefault="00AD60AE" w:rsidP="00AD60AE">
      <w:pPr>
        <w:widowControl/>
        <w:suppressAutoHyphens/>
        <w:rPr>
          <w:sz w:val="18"/>
          <w:szCs w:val="18"/>
        </w:rPr>
      </w:pPr>
      <w:r w:rsidRPr="00F52EA2">
        <w:rPr>
          <w:sz w:val="18"/>
          <w:szCs w:val="18"/>
        </w:rPr>
        <w:tab/>
        <w:t>(4)(a)  Before registering any plant food, the department may require evidence to substantiate the claims made for the plant food and proof of the value and usefulness of the plant food.</w:t>
      </w:r>
    </w:p>
    <w:p w14:paraId="0728173B" w14:textId="77777777" w:rsidR="00AD60AE" w:rsidRPr="00F52EA2" w:rsidRDefault="00AD60AE" w:rsidP="00AD60AE">
      <w:pPr>
        <w:widowControl/>
        <w:suppressAutoHyphens/>
        <w:rPr>
          <w:sz w:val="18"/>
          <w:szCs w:val="18"/>
        </w:rPr>
      </w:pPr>
      <w:r w:rsidRPr="00F52EA2">
        <w:rPr>
          <w:sz w:val="18"/>
          <w:szCs w:val="18"/>
        </w:rPr>
        <w:tab/>
        <w:t>(b)  For evidence of proof, the department may rely on experimental data, evaluation, or advice from a source that understands the conditions for which the product is intended.</w:t>
      </w:r>
    </w:p>
    <w:p w14:paraId="280FD7C0" w14:textId="55EB9CA8" w:rsidR="00AD60AE" w:rsidRPr="00F52EA2" w:rsidRDefault="00AD60AE" w:rsidP="00AD60AE">
      <w:pPr>
        <w:widowControl/>
        <w:suppressAutoHyphens/>
        <w:rPr>
          <w:sz w:val="18"/>
          <w:szCs w:val="18"/>
        </w:rPr>
      </w:pPr>
      <w:r w:rsidRPr="00F52EA2">
        <w:rPr>
          <w:sz w:val="18"/>
          <w:szCs w:val="18"/>
        </w:rPr>
        <w:tab/>
        <w:t>(c)  The applicant shall be responsible for the cost for research.</w:t>
      </w:r>
    </w:p>
    <w:p w14:paraId="02D4A5C3" w14:textId="681D516A" w:rsidR="00AD60AE" w:rsidRPr="00F52EA2" w:rsidRDefault="00AD60AE" w:rsidP="00AD60AE">
      <w:pPr>
        <w:widowControl/>
        <w:suppressAutoHyphens/>
        <w:rPr>
          <w:sz w:val="18"/>
          <w:szCs w:val="18"/>
        </w:rPr>
      </w:pPr>
      <w:r w:rsidRPr="00F52EA2">
        <w:rPr>
          <w:sz w:val="18"/>
          <w:szCs w:val="18"/>
        </w:rPr>
        <w:tab/>
        <w:t>(d)  The department shall make the final decision concerning registration of a plant food following evaluation of evidence presented.</w:t>
      </w:r>
    </w:p>
    <w:p w14:paraId="32E7E87B" w14:textId="1076F121" w:rsidR="00AD60AE" w:rsidRPr="00F52EA2" w:rsidRDefault="00AD60AE" w:rsidP="00AD60AE">
      <w:pPr>
        <w:widowControl/>
        <w:suppressAutoHyphens/>
        <w:rPr>
          <w:sz w:val="18"/>
          <w:szCs w:val="18"/>
        </w:rPr>
      </w:pPr>
      <w:r w:rsidRPr="00F52EA2">
        <w:rPr>
          <w:sz w:val="18"/>
          <w:szCs w:val="18"/>
        </w:rPr>
        <w:tab/>
        <w:t>(5)  The registrant is responsible for the accuracy and completeness of information submitted concerning application for registration of a plant food.</w:t>
      </w:r>
    </w:p>
    <w:p w14:paraId="5FB0D72F" w14:textId="000CC81C" w:rsidR="00AD60AE" w:rsidRPr="00F52EA2" w:rsidRDefault="00AD60AE" w:rsidP="00AD60AE">
      <w:pPr>
        <w:widowControl/>
        <w:suppressAutoHyphens/>
        <w:rPr>
          <w:sz w:val="18"/>
          <w:szCs w:val="18"/>
        </w:rPr>
      </w:pPr>
      <w:r w:rsidRPr="00F52EA2">
        <w:rPr>
          <w:sz w:val="18"/>
          <w:szCs w:val="18"/>
        </w:rPr>
        <w:tab/>
        <w:t>(6)  At the department's determination, it shall assess an additional fee if the renewal of a plant food registration is not received on or before December 31, pursuant to Subsection 4-2-103(2), and shall be;</w:t>
      </w:r>
    </w:p>
    <w:p w14:paraId="1E3BFCB2" w14:textId="056579CC" w:rsidR="00AD60AE" w:rsidRPr="00F52EA2" w:rsidRDefault="00AD60AE" w:rsidP="00AD60AE">
      <w:pPr>
        <w:widowControl/>
        <w:suppressAutoHyphens/>
        <w:rPr>
          <w:sz w:val="18"/>
          <w:szCs w:val="18"/>
        </w:rPr>
      </w:pPr>
      <w:r w:rsidRPr="00F52EA2">
        <w:rPr>
          <w:sz w:val="18"/>
          <w:szCs w:val="18"/>
        </w:rPr>
        <w:tab/>
        <w:t>(a)  assessed per product;</w:t>
      </w:r>
    </w:p>
    <w:p w14:paraId="7E59EB3D" w14:textId="77777777" w:rsidR="00AD60AE" w:rsidRPr="00F52EA2" w:rsidRDefault="00AD60AE" w:rsidP="00AD60AE">
      <w:pPr>
        <w:widowControl/>
        <w:suppressAutoHyphens/>
        <w:rPr>
          <w:sz w:val="18"/>
          <w:szCs w:val="18"/>
        </w:rPr>
      </w:pPr>
      <w:r w:rsidRPr="00F52EA2">
        <w:rPr>
          <w:sz w:val="18"/>
          <w:szCs w:val="18"/>
        </w:rPr>
        <w:tab/>
        <w:t>(b)  added to the original registration fee; and</w:t>
      </w:r>
    </w:p>
    <w:p w14:paraId="5AA2744D" w14:textId="20FE2D40" w:rsidR="00AD60AE" w:rsidRPr="00F52EA2" w:rsidRDefault="00AD60AE" w:rsidP="00AD60AE">
      <w:pPr>
        <w:widowControl/>
        <w:suppressAutoHyphens/>
        <w:rPr>
          <w:sz w:val="18"/>
          <w:szCs w:val="18"/>
        </w:rPr>
      </w:pPr>
      <w:r w:rsidRPr="00F52EA2">
        <w:rPr>
          <w:sz w:val="18"/>
          <w:szCs w:val="18"/>
        </w:rPr>
        <w:tab/>
        <w:t>(c)  shall be paid by the applicant before the registration renewal for that plant food shall be issued.</w:t>
      </w:r>
    </w:p>
    <w:p w14:paraId="2554929A" w14:textId="48E13BF5" w:rsidR="00AD60AE" w:rsidRPr="00F52EA2" w:rsidRDefault="00AD60AE" w:rsidP="00AD60AE">
      <w:pPr>
        <w:widowControl/>
        <w:suppressAutoHyphens/>
        <w:rPr>
          <w:sz w:val="18"/>
          <w:szCs w:val="18"/>
        </w:rPr>
      </w:pPr>
      <w:r w:rsidRPr="00F52EA2">
        <w:rPr>
          <w:sz w:val="18"/>
          <w:szCs w:val="18"/>
        </w:rPr>
        <w:tab/>
        <w:t>(7)(a)  The department requires a new registration when the name of the plant food product is changed or there are changes in the product ingredients or guaranteed analysis.</w:t>
      </w:r>
    </w:p>
    <w:p w14:paraId="3888F59D" w14:textId="60E5F141" w:rsidR="00AD60AE" w:rsidRPr="00F52EA2" w:rsidRDefault="00AD60AE" w:rsidP="00AD60AE">
      <w:pPr>
        <w:widowControl/>
        <w:suppressAutoHyphens/>
        <w:rPr>
          <w:sz w:val="18"/>
          <w:szCs w:val="18"/>
        </w:rPr>
      </w:pPr>
      <w:r w:rsidRPr="00F52EA2">
        <w:rPr>
          <w:sz w:val="18"/>
          <w:szCs w:val="18"/>
        </w:rPr>
        <w:tab/>
        <w:t>(b)  The department does not require re-registration for other labeling changes, but the registrant shall submit copies of changes to the department as soon as they are effective.</w:t>
      </w:r>
    </w:p>
    <w:p w14:paraId="79434F70" w14:textId="780E0FF1" w:rsidR="00AD60AE" w:rsidRPr="00F52EA2" w:rsidRDefault="00AD60AE" w:rsidP="00AD60AE">
      <w:pPr>
        <w:widowControl/>
        <w:suppressAutoHyphens/>
        <w:rPr>
          <w:sz w:val="18"/>
          <w:szCs w:val="18"/>
        </w:rPr>
      </w:pPr>
      <w:r w:rsidRPr="00F52EA2">
        <w:rPr>
          <w:sz w:val="18"/>
          <w:szCs w:val="18"/>
        </w:rPr>
        <w:tab/>
        <w:t>(c)  The department may permit a reasonable time to dispose of properly labeled stocks of the old product.</w:t>
      </w:r>
    </w:p>
    <w:p w14:paraId="397504A5" w14:textId="77777777" w:rsidR="00AD60AE" w:rsidRPr="00F52EA2" w:rsidRDefault="00AD60AE" w:rsidP="00AD60AE">
      <w:pPr>
        <w:widowControl/>
        <w:suppressAutoHyphens/>
        <w:rPr>
          <w:sz w:val="18"/>
          <w:szCs w:val="18"/>
        </w:rPr>
      </w:pPr>
    </w:p>
    <w:p w14:paraId="59401318" w14:textId="77777777" w:rsidR="00AD60AE" w:rsidRPr="00F52EA2" w:rsidRDefault="00AD60AE" w:rsidP="00AD60AE">
      <w:pPr>
        <w:widowControl/>
        <w:suppressAutoHyphens/>
        <w:rPr>
          <w:sz w:val="18"/>
          <w:szCs w:val="18"/>
        </w:rPr>
      </w:pPr>
      <w:r w:rsidRPr="00F52EA2">
        <w:rPr>
          <w:b/>
          <w:sz w:val="18"/>
          <w:szCs w:val="18"/>
        </w:rPr>
        <w:t>R68-3-4.  Product Labeling.</w:t>
      </w:r>
    </w:p>
    <w:p w14:paraId="0A2961CE" w14:textId="490CE075" w:rsidR="00AD60AE" w:rsidRPr="00F52EA2" w:rsidRDefault="00AD60AE" w:rsidP="00AD60AE">
      <w:pPr>
        <w:widowControl/>
        <w:suppressAutoHyphens/>
        <w:rPr>
          <w:sz w:val="18"/>
          <w:szCs w:val="18"/>
        </w:rPr>
      </w:pPr>
      <w:r w:rsidRPr="00F52EA2">
        <w:rPr>
          <w:sz w:val="18"/>
          <w:szCs w:val="18"/>
        </w:rPr>
        <w:lastRenderedPageBreak/>
        <w:tab/>
        <w:t>(1)  The label shall list when any reference is made on the label, labeling, or graphic material of a plant food to "trace elements," "minor elements," "secondary elements," "plant foods," or similar generalized terms, each individual plant food to which the term refers.</w:t>
      </w:r>
    </w:p>
    <w:p w14:paraId="7099C664" w14:textId="77777777" w:rsidR="00AD60AE" w:rsidRPr="00F52EA2" w:rsidRDefault="00AD60AE" w:rsidP="00AD60AE">
      <w:pPr>
        <w:widowControl/>
        <w:suppressAutoHyphens/>
        <w:rPr>
          <w:sz w:val="18"/>
          <w:szCs w:val="18"/>
        </w:rPr>
      </w:pPr>
      <w:r w:rsidRPr="00F52EA2">
        <w:rPr>
          <w:sz w:val="18"/>
          <w:szCs w:val="18"/>
        </w:rPr>
        <w:tab/>
        <w:t>(2)  Other plant nutrients, when mentioned in any form or manner, shall be registered and shall be guaranteed.</w:t>
      </w:r>
    </w:p>
    <w:p w14:paraId="565CF120" w14:textId="77777777" w:rsidR="00AD60AE" w:rsidRPr="00F52EA2" w:rsidRDefault="00AD60AE" w:rsidP="00AD60AE">
      <w:pPr>
        <w:widowControl/>
        <w:suppressAutoHyphens/>
        <w:rPr>
          <w:sz w:val="18"/>
          <w:szCs w:val="18"/>
        </w:rPr>
      </w:pPr>
      <w:r w:rsidRPr="00F52EA2">
        <w:rPr>
          <w:sz w:val="18"/>
          <w:szCs w:val="18"/>
        </w:rPr>
        <w:tab/>
        <w:t>(a)  Each guarantee shall be made on the elemental basis.</w:t>
      </w:r>
    </w:p>
    <w:p w14:paraId="469B29C6" w14:textId="77777777" w:rsidR="00AD60AE" w:rsidRPr="00F52EA2" w:rsidRDefault="00AD60AE" w:rsidP="00AD60AE">
      <w:pPr>
        <w:widowControl/>
        <w:suppressAutoHyphens/>
        <w:rPr>
          <w:sz w:val="18"/>
          <w:szCs w:val="18"/>
        </w:rPr>
      </w:pPr>
      <w:r w:rsidRPr="00F52EA2">
        <w:rPr>
          <w:sz w:val="18"/>
          <w:szCs w:val="18"/>
        </w:rPr>
        <w:tab/>
        <w:t>(b)  Sources of the elements guaranteed, and proof of availability shall be provided to the department upon request.</w:t>
      </w:r>
    </w:p>
    <w:p w14:paraId="499E5FE7" w14:textId="585D22E2" w:rsidR="00AD60AE" w:rsidRPr="00F52EA2" w:rsidRDefault="00AD60AE" w:rsidP="00AD60AE">
      <w:pPr>
        <w:widowControl/>
        <w:suppressAutoHyphens/>
        <w:rPr>
          <w:sz w:val="18"/>
          <w:szCs w:val="18"/>
        </w:rPr>
      </w:pPr>
      <w:r w:rsidRPr="00F52EA2">
        <w:rPr>
          <w:sz w:val="18"/>
          <w:szCs w:val="18"/>
        </w:rPr>
        <w:tab/>
        <w:t>(c)  Except for water soluble nutrients labeled for ready to use foliar fertilizers, ready to use specialty liquid fertilizers, hydroponic or continuous liquid feed programs and guarantees for potting, garden and lawn soils, the minimum percentages which will be accepted for registration are in the AAPFCO Minimum Concentration Table, Official Publication No. 78.</w:t>
      </w:r>
    </w:p>
    <w:p w14:paraId="603BC1FE" w14:textId="0B8870BF" w:rsidR="00AD60AE" w:rsidRPr="00F52EA2" w:rsidRDefault="00AD60AE" w:rsidP="00AD60AE">
      <w:pPr>
        <w:widowControl/>
        <w:suppressAutoHyphens/>
        <w:rPr>
          <w:sz w:val="18"/>
          <w:szCs w:val="18"/>
        </w:rPr>
      </w:pPr>
      <w:r w:rsidRPr="00F52EA2">
        <w:rPr>
          <w:sz w:val="18"/>
          <w:szCs w:val="18"/>
        </w:rPr>
        <w:tab/>
        <w:t>(3)  A fertilizer label may not bear a statement that implies that certain plant nutrients contained in a fertilizer are released slowly over a period, unless each slow release component is identified and guaranteed at a level of at least 15% of the total guarantee for that nutrient.</w:t>
      </w:r>
    </w:p>
    <w:p w14:paraId="0A0CE004" w14:textId="0C5A154C" w:rsidR="00AD60AE" w:rsidRPr="00F52EA2" w:rsidRDefault="00AD60AE" w:rsidP="00AD60AE">
      <w:pPr>
        <w:widowControl/>
        <w:suppressAutoHyphens/>
        <w:rPr>
          <w:sz w:val="18"/>
          <w:szCs w:val="18"/>
        </w:rPr>
      </w:pPr>
      <w:r w:rsidRPr="00F52EA2">
        <w:rPr>
          <w:sz w:val="18"/>
          <w:szCs w:val="18"/>
        </w:rPr>
        <w:tab/>
        <w:t>(4)  The department may require evidence and an acceptable testing procedure to substantiate each claim.</w:t>
      </w:r>
    </w:p>
    <w:p w14:paraId="2AFAA0DE" w14:textId="682AB67F" w:rsidR="00AD60AE" w:rsidRPr="00F52EA2" w:rsidRDefault="00AD60AE" w:rsidP="00AD60AE">
      <w:pPr>
        <w:widowControl/>
        <w:suppressAutoHyphens/>
        <w:rPr>
          <w:sz w:val="18"/>
          <w:szCs w:val="18"/>
        </w:rPr>
      </w:pPr>
      <w:r w:rsidRPr="00F52EA2">
        <w:rPr>
          <w:sz w:val="18"/>
          <w:szCs w:val="18"/>
        </w:rPr>
        <w:tab/>
        <w:t>(5)  Pesticide may be added to registered plant food, if:</w:t>
      </w:r>
    </w:p>
    <w:p w14:paraId="6BFA2CF4" w14:textId="49A803DF" w:rsidR="00AD60AE" w:rsidRPr="00F52EA2" w:rsidRDefault="00AD60AE" w:rsidP="00AD60AE">
      <w:pPr>
        <w:widowControl/>
        <w:suppressAutoHyphens/>
        <w:rPr>
          <w:sz w:val="18"/>
          <w:szCs w:val="18"/>
        </w:rPr>
      </w:pPr>
      <w:r w:rsidRPr="00F52EA2">
        <w:rPr>
          <w:sz w:val="18"/>
          <w:szCs w:val="18"/>
        </w:rPr>
        <w:tab/>
        <w:t>(a)  the pesticide is registered; and</w:t>
      </w:r>
    </w:p>
    <w:p w14:paraId="779B7157" w14:textId="768B9C79" w:rsidR="00AD60AE" w:rsidRPr="00F52EA2" w:rsidRDefault="00AD60AE" w:rsidP="00AD60AE">
      <w:pPr>
        <w:widowControl/>
        <w:suppressAutoHyphens/>
        <w:rPr>
          <w:sz w:val="18"/>
          <w:szCs w:val="18"/>
        </w:rPr>
      </w:pPr>
      <w:r w:rsidRPr="00F52EA2">
        <w:rPr>
          <w:sz w:val="18"/>
          <w:szCs w:val="18"/>
        </w:rPr>
        <w:tab/>
        <w:t>(b)  each plant food and pesticide mixture has a label showing the information required in Sections 4-13-104, and 4-14-104.</w:t>
      </w:r>
    </w:p>
    <w:p w14:paraId="12B3E89F" w14:textId="77777777" w:rsidR="00AD60AE" w:rsidRPr="00F52EA2" w:rsidRDefault="00AD60AE" w:rsidP="00AD60AE">
      <w:pPr>
        <w:widowControl/>
        <w:suppressAutoHyphens/>
        <w:rPr>
          <w:sz w:val="18"/>
          <w:szCs w:val="18"/>
        </w:rPr>
      </w:pPr>
    </w:p>
    <w:p w14:paraId="1AEFE498" w14:textId="77777777" w:rsidR="00AD60AE" w:rsidRPr="00F52EA2" w:rsidRDefault="00AD60AE" w:rsidP="00AD60AE">
      <w:pPr>
        <w:widowControl/>
        <w:suppressAutoHyphens/>
        <w:rPr>
          <w:sz w:val="18"/>
          <w:szCs w:val="18"/>
        </w:rPr>
      </w:pPr>
      <w:r w:rsidRPr="00F52EA2">
        <w:rPr>
          <w:b/>
          <w:sz w:val="18"/>
          <w:szCs w:val="18"/>
        </w:rPr>
        <w:t>R68-3-5.  Deficiencies of Ingredients.</w:t>
      </w:r>
    </w:p>
    <w:p w14:paraId="002163FA" w14:textId="18911E96" w:rsidR="00AD60AE" w:rsidRPr="00F52EA2" w:rsidRDefault="00AD60AE" w:rsidP="00AD60AE">
      <w:pPr>
        <w:widowControl/>
        <w:suppressAutoHyphens/>
        <w:rPr>
          <w:sz w:val="18"/>
          <w:szCs w:val="18"/>
        </w:rPr>
      </w:pPr>
      <w:r w:rsidRPr="00F52EA2">
        <w:rPr>
          <w:sz w:val="18"/>
          <w:szCs w:val="18"/>
        </w:rPr>
        <w:tab/>
        <w:t>The department considers a fertilizer deficient if the analysis of any nutrient is below the guarantee by an amount exceeding the values in the AAPFCO, Official Publication No. 78 Investigational Allowance Tables, or if the overall index value of the fertilizer is below 98%.</w:t>
      </w:r>
    </w:p>
    <w:p w14:paraId="1C052F9C" w14:textId="77777777" w:rsidR="00AD60AE" w:rsidRPr="00F52EA2" w:rsidRDefault="00AD60AE" w:rsidP="00AD60AE">
      <w:pPr>
        <w:widowControl/>
        <w:suppressAutoHyphens/>
        <w:rPr>
          <w:sz w:val="18"/>
          <w:szCs w:val="18"/>
        </w:rPr>
      </w:pPr>
    </w:p>
    <w:p w14:paraId="0E003996" w14:textId="77777777" w:rsidR="00AD60AE" w:rsidRPr="00F52EA2" w:rsidRDefault="00AD60AE" w:rsidP="00AD60AE">
      <w:pPr>
        <w:widowControl/>
        <w:suppressAutoHyphens/>
        <w:rPr>
          <w:sz w:val="18"/>
          <w:szCs w:val="18"/>
        </w:rPr>
      </w:pPr>
      <w:r w:rsidRPr="00F52EA2">
        <w:rPr>
          <w:b/>
          <w:sz w:val="18"/>
          <w:szCs w:val="18"/>
        </w:rPr>
        <w:t>R68-3-6.  Unlawful Acts.</w:t>
      </w:r>
    </w:p>
    <w:p w14:paraId="39ADDD0D" w14:textId="02E572EB" w:rsidR="00AD60AE" w:rsidRPr="00F52EA2" w:rsidRDefault="00AD60AE" w:rsidP="00AD60AE">
      <w:pPr>
        <w:widowControl/>
        <w:suppressAutoHyphens/>
        <w:rPr>
          <w:sz w:val="18"/>
          <w:szCs w:val="18"/>
        </w:rPr>
      </w:pPr>
      <w:r w:rsidRPr="00F52EA2">
        <w:rPr>
          <w:sz w:val="18"/>
          <w:szCs w:val="18"/>
        </w:rPr>
        <w:tab/>
        <w:t>(1)  Any person who violates Title 4, Chapter 13, the Utah Plant Food Act, or rules promulgated thereunder, is subject to penalties provided for in Subsection 4-2-304(1)(a).</w:t>
      </w:r>
    </w:p>
    <w:p w14:paraId="5E05FFFB" w14:textId="53064A78" w:rsidR="00AD60AE" w:rsidRPr="00F52EA2" w:rsidRDefault="00AD60AE" w:rsidP="00AD60AE">
      <w:pPr>
        <w:widowControl/>
        <w:suppressAutoHyphens/>
        <w:rPr>
          <w:sz w:val="18"/>
          <w:szCs w:val="18"/>
        </w:rPr>
      </w:pPr>
      <w:r w:rsidRPr="00F52EA2">
        <w:rPr>
          <w:sz w:val="18"/>
          <w:szCs w:val="18"/>
        </w:rPr>
        <w:tab/>
        <w:t>(2)  A person commits an unlawful act when the person:</w:t>
      </w:r>
    </w:p>
    <w:p w14:paraId="7DBFAA6C" w14:textId="468E18F3" w:rsidR="00AD60AE" w:rsidRPr="00F52EA2" w:rsidRDefault="00AD60AE" w:rsidP="00AD60AE">
      <w:pPr>
        <w:widowControl/>
        <w:suppressAutoHyphens/>
        <w:rPr>
          <w:sz w:val="18"/>
          <w:szCs w:val="18"/>
        </w:rPr>
      </w:pPr>
      <w:r w:rsidRPr="00F52EA2">
        <w:rPr>
          <w:sz w:val="18"/>
          <w:szCs w:val="18"/>
        </w:rPr>
        <w:tab/>
        <w:t>(a)  neglects or, after notice, refuses to comply with Title 4, Chapter 13, the Utah Plant Food Act, this rule, or any lawful order of the department;</w:t>
      </w:r>
    </w:p>
    <w:p w14:paraId="4867F6D3" w14:textId="009D04FB" w:rsidR="00AD60AE" w:rsidRPr="00F52EA2" w:rsidRDefault="00AD60AE" w:rsidP="00AD60AE">
      <w:pPr>
        <w:widowControl/>
        <w:suppressAutoHyphens/>
        <w:rPr>
          <w:sz w:val="18"/>
          <w:szCs w:val="18"/>
        </w:rPr>
      </w:pPr>
      <w:r w:rsidRPr="00F52EA2">
        <w:rPr>
          <w:sz w:val="18"/>
          <w:szCs w:val="18"/>
        </w:rPr>
        <w:tab/>
        <w:t>(b)  distributes any waste-derived fertilizer that was not identified in the registration application; or</w:t>
      </w:r>
    </w:p>
    <w:p w14:paraId="5774D85D" w14:textId="550A91B5" w:rsidR="00AD60AE" w:rsidRPr="00F52EA2" w:rsidRDefault="00AD60AE" w:rsidP="00AD60AE">
      <w:pPr>
        <w:widowControl/>
        <w:suppressAutoHyphens/>
        <w:rPr>
          <w:sz w:val="18"/>
          <w:szCs w:val="18"/>
        </w:rPr>
      </w:pPr>
      <w:r w:rsidRPr="00F52EA2">
        <w:rPr>
          <w:sz w:val="18"/>
          <w:szCs w:val="18"/>
        </w:rPr>
        <w:tab/>
        <w:t>(c)  did not store plant food in a manner that minimizes the release of plant food and protects the environment.</w:t>
      </w:r>
    </w:p>
    <w:p w14:paraId="0D7925CB" w14:textId="77777777" w:rsidR="00AD60AE" w:rsidRPr="00F52EA2" w:rsidRDefault="00AD60AE" w:rsidP="00AD60AE">
      <w:pPr>
        <w:widowControl/>
        <w:suppressAutoHyphens/>
        <w:rPr>
          <w:sz w:val="18"/>
          <w:szCs w:val="18"/>
        </w:rPr>
      </w:pPr>
    </w:p>
    <w:p w14:paraId="7BAB9850" w14:textId="1184A3F9" w:rsidR="00AD60AE" w:rsidRPr="00F52EA2" w:rsidRDefault="00AD60AE" w:rsidP="00AD60AE">
      <w:pPr>
        <w:widowControl/>
        <w:suppressAutoHyphens/>
        <w:rPr>
          <w:sz w:val="18"/>
          <w:szCs w:val="18"/>
        </w:rPr>
      </w:pPr>
      <w:r w:rsidRPr="00F52EA2">
        <w:rPr>
          <w:b/>
          <w:sz w:val="18"/>
          <w:szCs w:val="18"/>
        </w:rPr>
        <w:t>KEY:  plant food, product registration, labeling, unlawful acts</w:t>
      </w:r>
    </w:p>
    <w:p w14:paraId="00FF1E6A" w14:textId="28934B6B" w:rsidR="00AD60AE" w:rsidRPr="00F52EA2" w:rsidRDefault="00AD60AE" w:rsidP="00AD60AE">
      <w:pPr>
        <w:widowControl/>
        <w:suppressAutoHyphens/>
        <w:rPr>
          <w:sz w:val="18"/>
          <w:szCs w:val="18"/>
        </w:rPr>
      </w:pPr>
      <w:r w:rsidRPr="00F52EA2">
        <w:rPr>
          <w:b/>
          <w:sz w:val="18"/>
          <w:szCs w:val="18"/>
        </w:rPr>
        <w:t xml:space="preserve">Date of Last Change:  </w:t>
      </w:r>
      <w:r w:rsidR="00DD09E8" w:rsidRPr="00F52EA2">
        <w:rPr>
          <w:b/>
          <w:sz w:val="18"/>
          <w:szCs w:val="18"/>
        </w:rPr>
        <w:t xml:space="preserve">December 22, </w:t>
      </w:r>
      <w:r w:rsidRPr="00F52EA2">
        <w:rPr>
          <w:b/>
          <w:sz w:val="18"/>
          <w:szCs w:val="18"/>
        </w:rPr>
        <w:t>2025</w:t>
      </w:r>
    </w:p>
    <w:p w14:paraId="563E8AF8" w14:textId="77777777" w:rsidR="00AD60AE" w:rsidRPr="00F52EA2" w:rsidRDefault="00AD60AE" w:rsidP="00AD60AE">
      <w:pPr>
        <w:widowControl/>
        <w:suppressAutoHyphens/>
        <w:rPr>
          <w:sz w:val="18"/>
          <w:szCs w:val="18"/>
        </w:rPr>
      </w:pPr>
      <w:r w:rsidRPr="00F52EA2">
        <w:rPr>
          <w:b/>
          <w:sz w:val="18"/>
          <w:szCs w:val="18"/>
        </w:rPr>
        <w:t>Notice of Continuation:  August 21, 2024</w:t>
      </w:r>
    </w:p>
    <w:p w14:paraId="38662A5B" w14:textId="77777777" w:rsidR="00AD60AE" w:rsidRPr="00F52EA2" w:rsidRDefault="00AD60AE" w:rsidP="00AD60AE">
      <w:pPr>
        <w:widowControl/>
        <w:suppressAutoHyphens/>
        <w:rPr>
          <w:sz w:val="18"/>
          <w:szCs w:val="18"/>
        </w:rPr>
      </w:pPr>
      <w:r w:rsidRPr="00F52EA2">
        <w:rPr>
          <w:b/>
          <w:sz w:val="18"/>
          <w:szCs w:val="18"/>
        </w:rPr>
        <w:t>Authorizing, and Implemented or Interpreted Law:  4-2-103(1)(</w:t>
      </w:r>
      <w:proofErr w:type="spellStart"/>
      <w:r w:rsidRPr="00F52EA2">
        <w:rPr>
          <w:b/>
          <w:sz w:val="18"/>
          <w:szCs w:val="18"/>
        </w:rPr>
        <w:t>i</w:t>
      </w:r>
      <w:proofErr w:type="spellEnd"/>
      <w:r w:rsidRPr="00F52EA2">
        <w:rPr>
          <w:b/>
          <w:sz w:val="18"/>
          <w:szCs w:val="18"/>
        </w:rPr>
        <w:t>); 4-13-110</w:t>
      </w:r>
    </w:p>
    <w:p w14:paraId="4273B754" w14:textId="77777777" w:rsidR="00AD60AE" w:rsidRPr="00F52EA2" w:rsidRDefault="00AD60AE" w:rsidP="00AD60AE">
      <w:pPr>
        <w:widowControl/>
        <w:suppressAutoHyphens/>
        <w:rPr>
          <w:sz w:val="18"/>
        </w:rPr>
      </w:pPr>
    </w:p>
    <w:p w14:paraId="7148C075" w14:textId="2C4ABF82" w:rsidR="00AC60A3" w:rsidRPr="00F52EA2" w:rsidRDefault="00AC60A3" w:rsidP="00AD60AE">
      <w:pPr>
        <w:widowControl/>
        <w:suppressAutoHyphens/>
        <w:rPr>
          <w:rStyle w:val="s1"/>
          <w:spacing w:val="0"/>
          <w:sz w:val="18"/>
        </w:rPr>
      </w:pPr>
    </w:p>
    <w:sectPr w:rsidR="00AC60A3" w:rsidRPr="00F52EA2" w:rsidSect="00F52EA2">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74FA4" w14:textId="77777777" w:rsidR="00EA5B6E" w:rsidRDefault="00EA5B6E" w:rsidP="00C17968">
      <w:r>
        <w:separator/>
      </w:r>
    </w:p>
  </w:endnote>
  <w:endnote w:type="continuationSeparator" w:id="0">
    <w:p w14:paraId="26E0C008" w14:textId="77777777" w:rsidR="00EA5B6E" w:rsidRDefault="00EA5B6E"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7F5F9" w14:textId="77777777" w:rsidR="00EA5B6E" w:rsidRDefault="00EA5B6E" w:rsidP="00C17968">
      <w:r>
        <w:separator/>
      </w:r>
    </w:p>
  </w:footnote>
  <w:footnote w:type="continuationSeparator" w:id="0">
    <w:p w14:paraId="0E11ACEA" w14:textId="77777777" w:rsidR="00EA5B6E" w:rsidRDefault="00EA5B6E"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60995"/>
    <w:rsid w:val="00083289"/>
    <w:rsid w:val="00083BAD"/>
    <w:rsid w:val="00086A4C"/>
    <w:rsid w:val="00092D64"/>
    <w:rsid w:val="00094789"/>
    <w:rsid w:val="000A4085"/>
    <w:rsid w:val="000A5EAE"/>
    <w:rsid w:val="000A63C1"/>
    <w:rsid w:val="000B0C8F"/>
    <w:rsid w:val="000B5EF8"/>
    <w:rsid w:val="000C3C78"/>
    <w:rsid w:val="000C753C"/>
    <w:rsid w:val="000D3CAD"/>
    <w:rsid w:val="000D42C5"/>
    <w:rsid w:val="000D47B6"/>
    <w:rsid w:val="000D6E9E"/>
    <w:rsid w:val="000E074A"/>
    <w:rsid w:val="000E6751"/>
    <w:rsid w:val="000E7CDD"/>
    <w:rsid w:val="000F2028"/>
    <w:rsid w:val="00101FCF"/>
    <w:rsid w:val="0010261E"/>
    <w:rsid w:val="00102786"/>
    <w:rsid w:val="00102BB0"/>
    <w:rsid w:val="001138B7"/>
    <w:rsid w:val="00113BB3"/>
    <w:rsid w:val="00122E61"/>
    <w:rsid w:val="00123B89"/>
    <w:rsid w:val="001304E9"/>
    <w:rsid w:val="00133F0A"/>
    <w:rsid w:val="00135EC6"/>
    <w:rsid w:val="00136C69"/>
    <w:rsid w:val="00136E6B"/>
    <w:rsid w:val="00140B4F"/>
    <w:rsid w:val="00140F86"/>
    <w:rsid w:val="001447C5"/>
    <w:rsid w:val="00151B36"/>
    <w:rsid w:val="001659D6"/>
    <w:rsid w:val="001769DF"/>
    <w:rsid w:val="0018100B"/>
    <w:rsid w:val="00195931"/>
    <w:rsid w:val="00197144"/>
    <w:rsid w:val="00197329"/>
    <w:rsid w:val="001B1B40"/>
    <w:rsid w:val="001C3DAB"/>
    <w:rsid w:val="001C4CEB"/>
    <w:rsid w:val="001D1A8C"/>
    <w:rsid w:val="001D45E8"/>
    <w:rsid w:val="001F78BA"/>
    <w:rsid w:val="00210E2C"/>
    <w:rsid w:val="00214BA0"/>
    <w:rsid w:val="00223AFA"/>
    <w:rsid w:val="00250B69"/>
    <w:rsid w:val="00252163"/>
    <w:rsid w:val="00253C3B"/>
    <w:rsid w:val="00256032"/>
    <w:rsid w:val="0025687E"/>
    <w:rsid w:val="002639EB"/>
    <w:rsid w:val="00266359"/>
    <w:rsid w:val="00272D20"/>
    <w:rsid w:val="00282CAA"/>
    <w:rsid w:val="00290BCC"/>
    <w:rsid w:val="00291CEB"/>
    <w:rsid w:val="00291DCA"/>
    <w:rsid w:val="002946F0"/>
    <w:rsid w:val="002947D1"/>
    <w:rsid w:val="00295251"/>
    <w:rsid w:val="00296B2B"/>
    <w:rsid w:val="00297523"/>
    <w:rsid w:val="002A5401"/>
    <w:rsid w:val="002B1A22"/>
    <w:rsid w:val="002B1F5D"/>
    <w:rsid w:val="002B721A"/>
    <w:rsid w:val="002C31EE"/>
    <w:rsid w:val="002C6886"/>
    <w:rsid w:val="002C762C"/>
    <w:rsid w:val="002D15F6"/>
    <w:rsid w:val="002D4474"/>
    <w:rsid w:val="002E6F38"/>
    <w:rsid w:val="002F45BF"/>
    <w:rsid w:val="00304149"/>
    <w:rsid w:val="003121D3"/>
    <w:rsid w:val="00315744"/>
    <w:rsid w:val="00316A41"/>
    <w:rsid w:val="003217E6"/>
    <w:rsid w:val="00335956"/>
    <w:rsid w:val="0033622C"/>
    <w:rsid w:val="00342459"/>
    <w:rsid w:val="00351E76"/>
    <w:rsid w:val="00373FE5"/>
    <w:rsid w:val="00380D52"/>
    <w:rsid w:val="003811E6"/>
    <w:rsid w:val="00393151"/>
    <w:rsid w:val="003A385B"/>
    <w:rsid w:val="003B46D1"/>
    <w:rsid w:val="003B540F"/>
    <w:rsid w:val="003B6116"/>
    <w:rsid w:val="003C2220"/>
    <w:rsid w:val="003D11EF"/>
    <w:rsid w:val="003D3B77"/>
    <w:rsid w:val="003D601B"/>
    <w:rsid w:val="003E13A0"/>
    <w:rsid w:val="003E6785"/>
    <w:rsid w:val="003F64A7"/>
    <w:rsid w:val="003F6A4F"/>
    <w:rsid w:val="00402912"/>
    <w:rsid w:val="00403755"/>
    <w:rsid w:val="00414E0D"/>
    <w:rsid w:val="00430473"/>
    <w:rsid w:val="0043274F"/>
    <w:rsid w:val="004423A3"/>
    <w:rsid w:val="004517CA"/>
    <w:rsid w:val="0045285A"/>
    <w:rsid w:val="00452B2A"/>
    <w:rsid w:val="0045339E"/>
    <w:rsid w:val="00457B35"/>
    <w:rsid w:val="00462360"/>
    <w:rsid w:val="00465A08"/>
    <w:rsid w:val="00465E95"/>
    <w:rsid w:val="004803F6"/>
    <w:rsid w:val="004A031A"/>
    <w:rsid w:val="004B7F3B"/>
    <w:rsid w:val="004C20EA"/>
    <w:rsid w:val="004C4015"/>
    <w:rsid w:val="004C74B6"/>
    <w:rsid w:val="004D2CC5"/>
    <w:rsid w:val="004D328F"/>
    <w:rsid w:val="004D6568"/>
    <w:rsid w:val="004F68FE"/>
    <w:rsid w:val="00503322"/>
    <w:rsid w:val="00516E14"/>
    <w:rsid w:val="00523940"/>
    <w:rsid w:val="005429B8"/>
    <w:rsid w:val="00550F3B"/>
    <w:rsid w:val="00551480"/>
    <w:rsid w:val="005556D4"/>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17D1E"/>
    <w:rsid w:val="00621432"/>
    <w:rsid w:val="00626C9D"/>
    <w:rsid w:val="00631C68"/>
    <w:rsid w:val="0063666C"/>
    <w:rsid w:val="00640E6A"/>
    <w:rsid w:val="006431BE"/>
    <w:rsid w:val="00646433"/>
    <w:rsid w:val="00646E1C"/>
    <w:rsid w:val="006604BD"/>
    <w:rsid w:val="006661C3"/>
    <w:rsid w:val="006667C3"/>
    <w:rsid w:val="00682427"/>
    <w:rsid w:val="00685F3C"/>
    <w:rsid w:val="0069040D"/>
    <w:rsid w:val="00690DD4"/>
    <w:rsid w:val="006936DF"/>
    <w:rsid w:val="006A3805"/>
    <w:rsid w:val="006A3F24"/>
    <w:rsid w:val="006A7D14"/>
    <w:rsid w:val="006B70AF"/>
    <w:rsid w:val="006C202D"/>
    <w:rsid w:val="006C4CEF"/>
    <w:rsid w:val="006D167F"/>
    <w:rsid w:val="006D1FD5"/>
    <w:rsid w:val="006E1B83"/>
    <w:rsid w:val="006E2189"/>
    <w:rsid w:val="007047A1"/>
    <w:rsid w:val="00712C37"/>
    <w:rsid w:val="00713104"/>
    <w:rsid w:val="00715301"/>
    <w:rsid w:val="00716F7B"/>
    <w:rsid w:val="007231FC"/>
    <w:rsid w:val="00723BDF"/>
    <w:rsid w:val="00736DC2"/>
    <w:rsid w:val="00741B7E"/>
    <w:rsid w:val="00743B04"/>
    <w:rsid w:val="00753C35"/>
    <w:rsid w:val="007540B9"/>
    <w:rsid w:val="007613E9"/>
    <w:rsid w:val="00762BDA"/>
    <w:rsid w:val="0076330C"/>
    <w:rsid w:val="00764DE0"/>
    <w:rsid w:val="00772653"/>
    <w:rsid w:val="00776607"/>
    <w:rsid w:val="007769E4"/>
    <w:rsid w:val="00793010"/>
    <w:rsid w:val="00795D41"/>
    <w:rsid w:val="00796BA5"/>
    <w:rsid w:val="007A1FEA"/>
    <w:rsid w:val="007A4D6B"/>
    <w:rsid w:val="007A6137"/>
    <w:rsid w:val="007B45B2"/>
    <w:rsid w:val="007B6C82"/>
    <w:rsid w:val="007C66C3"/>
    <w:rsid w:val="007D0B87"/>
    <w:rsid w:val="007D1F9D"/>
    <w:rsid w:val="007D47E7"/>
    <w:rsid w:val="008077EE"/>
    <w:rsid w:val="00807BB1"/>
    <w:rsid w:val="0082375A"/>
    <w:rsid w:val="008315F8"/>
    <w:rsid w:val="00835660"/>
    <w:rsid w:val="0084069F"/>
    <w:rsid w:val="00840B24"/>
    <w:rsid w:val="00844B36"/>
    <w:rsid w:val="0085485F"/>
    <w:rsid w:val="008637F2"/>
    <w:rsid w:val="008705CB"/>
    <w:rsid w:val="00872C04"/>
    <w:rsid w:val="008829AB"/>
    <w:rsid w:val="008874D2"/>
    <w:rsid w:val="00890276"/>
    <w:rsid w:val="00890A1F"/>
    <w:rsid w:val="00893AD6"/>
    <w:rsid w:val="00895860"/>
    <w:rsid w:val="008A405B"/>
    <w:rsid w:val="008B0B8A"/>
    <w:rsid w:val="008D6C4B"/>
    <w:rsid w:val="008E7D98"/>
    <w:rsid w:val="008E7D9B"/>
    <w:rsid w:val="008F5560"/>
    <w:rsid w:val="0091496B"/>
    <w:rsid w:val="009174AF"/>
    <w:rsid w:val="00921FDE"/>
    <w:rsid w:val="009226D8"/>
    <w:rsid w:val="00922D61"/>
    <w:rsid w:val="009279FD"/>
    <w:rsid w:val="009510CD"/>
    <w:rsid w:val="00964E49"/>
    <w:rsid w:val="00964F8C"/>
    <w:rsid w:val="00986B62"/>
    <w:rsid w:val="0099724C"/>
    <w:rsid w:val="009A2A78"/>
    <w:rsid w:val="009A4D73"/>
    <w:rsid w:val="009B5790"/>
    <w:rsid w:val="009C0017"/>
    <w:rsid w:val="009C2A6A"/>
    <w:rsid w:val="009D01C5"/>
    <w:rsid w:val="009D34B6"/>
    <w:rsid w:val="009D5289"/>
    <w:rsid w:val="009E5ABD"/>
    <w:rsid w:val="009E75B1"/>
    <w:rsid w:val="009F0DEE"/>
    <w:rsid w:val="00A0145C"/>
    <w:rsid w:val="00A2194C"/>
    <w:rsid w:val="00A24391"/>
    <w:rsid w:val="00A2684B"/>
    <w:rsid w:val="00A3412E"/>
    <w:rsid w:val="00A41D37"/>
    <w:rsid w:val="00A42748"/>
    <w:rsid w:val="00A44F17"/>
    <w:rsid w:val="00A52209"/>
    <w:rsid w:val="00A6312E"/>
    <w:rsid w:val="00A771CE"/>
    <w:rsid w:val="00A93EFE"/>
    <w:rsid w:val="00A9694A"/>
    <w:rsid w:val="00AA0919"/>
    <w:rsid w:val="00AA5480"/>
    <w:rsid w:val="00AA649A"/>
    <w:rsid w:val="00AA7E32"/>
    <w:rsid w:val="00AB0BE0"/>
    <w:rsid w:val="00AB5714"/>
    <w:rsid w:val="00AB5DBF"/>
    <w:rsid w:val="00AC2734"/>
    <w:rsid w:val="00AC60A3"/>
    <w:rsid w:val="00AD5BF8"/>
    <w:rsid w:val="00AD60AE"/>
    <w:rsid w:val="00AF1519"/>
    <w:rsid w:val="00B0160D"/>
    <w:rsid w:val="00B02C04"/>
    <w:rsid w:val="00B05550"/>
    <w:rsid w:val="00B132A1"/>
    <w:rsid w:val="00B1423E"/>
    <w:rsid w:val="00B21CC2"/>
    <w:rsid w:val="00B33858"/>
    <w:rsid w:val="00B41350"/>
    <w:rsid w:val="00B41A6C"/>
    <w:rsid w:val="00B535B4"/>
    <w:rsid w:val="00B606F6"/>
    <w:rsid w:val="00B61024"/>
    <w:rsid w:val="00B62A8D"/>
    <w:rsid w:val="00B67C05"/>
    <w:rsid w:val="00B90B4E"/>
    <w:rsid w:val="00B974B0"/>
    <w:rsid w:val="00BA4813"/>
    <w:rsid w:val="00BC5E52"/>
    <w:rsid w:val="00BD38D5"/>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7075A"/>
    <w:rsid w:val="00C71AAC"/>
    <w:rsid w:val="00C864C3"/>
    <w:rsid w:val="00C979BC"/>
    <w:rsid w:val="00CA2A17"/>
    <w:rsid w:val="00CA4226"/>
    <w:rsid w:val="00CA4306"/>
    <w:rsid w:val="00CA642C"/>
    <w:rsid w:val="00CB214B"/>
    <w:rsid w:val="00CC0414"/>
    <w:rsid w:val="00CC1DE2"/>
    <w:rsid w:val="00CC2F8D"/>
    <w:rsid w:val="00CC5A7C"/>
    <w:rsid w:val="00CC6758"/>
    <w:rsid w:val="00CD7FD5"/>
    <w:rsid w:val="00CE4429"/>
    <w:rsid w:val="00CE4EB2"/>
    <w:rsid w:val="00CF0B98"/>
    <w:rsid w:val="00CF36B3"/>
    <w:rsid w:val="00D01884"/>
    <w:rsid w:val="00D04355"/>
    <w:rsid w:val="00D06A99"/>
    <w:rsid w:val="00D127A3"/>
    <w:rsid w:val="00D13EC4"/>
    <w:rsid w:val="00D17C88"/>
    <w:rsid w:val="00D222F2"/>
    <w:rsid w:val="00D22416"/>
    <w:rsid w:val="00D227C5"/>
    <w:rsid w:val="00D2400F"/>
    <w:rsid w:val="00D26D4A"/>
    <w:rsid w:val="00D2763B"/>
    <w:rsid w:val="00D31690"/>
    <w:rsid w:val="00D330D2"/>
    <w:rsid w:val="00D41554"/>
    <w:rsid w:val="00D41ABA"/>
    <w:rsid w:val="00D607B0"/>
    <w:rsid w:val="00D66564"/>
    <w:rsid w:val="00D6785E"/>
    <w:rsid w:val="00D71636"/>
    <w:rsid w:val="00D72AC1"/>
    <w:rsid w:val="00D74061"/>
    <w:rsid w:val="00D76607"/>
    <w:rsid w:val="00D7747A"/>
    <w:rsid w:val="00D96075"/>
    <w:rsid w:val="00D97919"/>
    <w:rsid w:val="00DA6D1D"/>
    <w:rsid w:val="00DA783E"/>
    <w:rsid w:val="00DB3AE0"/>
    <w:rsid w:val="00DC0B97"/>
    <w:rsid w:val="00DC1529"/>
    <w:rsid w:val="00DC51B5"/>
    <w:rsid w:val="00DD09E8"/>
    <w:rsid w:val="00DE4AAB"/>
    <w:rsid w:val="00E06657"/>
    <w:rsid w:val="00E12901"/>
    <w:rsid w:val="00E2296E"/>
    <w:rsid w:val="00E23A0A"/>
    <w:rsid w:val="00E33057"/>
    <w:rsid w:val="00E33275"/>
    <w:rsid w:val="00E373E2"/>
    <w:rsid w:val="00E52C8D"/>
    <w:rsid w:val="00E536BE"/>
    <w:rsid w:val="00E557EC"/>
    <w:rsid w:val="00E62DBC"/>
    <w:rsid w:val="00E71631"/>
    <w:rsid w:val="00E71E51"/>
    <w:rsid w:val="00E808BD"/>
    <w:rsid w:val="00E828B8"/>
    <w:rsid w:val="00E83AE6"/>
    <w:rsid w:val="00E91C27"/>
    <w:rsid w:val="00E945AC"/>
    <w:rsid w:val="00E97128"/>
    <w:rsid w:val="00EA5B6E"/>
    <w:rsid w:val="00EB0212"/>
    <w:rsid w:val="00EB3D35"/>
    <w:rsid w:val="00EC01D2"/>
    <w:rsid w:val="00EC028B"/>
    <w:rsid w:val="00EC6C8D"/>
    <w:rsid w:val="00EC7C9D"/>
    <w:rsid w:val="00ED6764"/>
    <w:rsid w:val="00EE1536"/>
    <w:rsid w:val="00EE2657"/>
    <w:rsid w:val="00EE6D3C"/>
    <w:rsid w:val="00EF40BC"/>
    <w:rsid w:val="00F04D62"/>
    <w:rsid w:val="00F05966"/>
    <w:rsid w:val="00F0658D"/>
    <w:rsid w:val="00F1268F"/>
    <w:rsid w:val="00F136AB"/>
    <w:rsid w:val="00F278A7"/>
    <w:rsid w:val="00F31687"/>
    <w:rsid w:val="00F35997"/>
    <w:rsid w:val="00F40EA6"/>
    <w:rsid w:val="00F41794"/>
    <w:rsid w:val="00F42C14"/>
    <w:rsid w:val="00F472B2"/>
    <w:rsid w:val="00F52EA2"/>
    <w:rsid w:val="00F63F1D"/>
    <w:rsid w:val="00F700BD"/>
    <w:rsid w:val="00F72AC8"/>
    <w:rsid w:val="00F86B4A"/>
    <w:rsid w:val="00F87DE9"/>
    <w:rsid w:val="00F91CB5"/>
    <w:rsid w:val="00F95ADD"/>
    <w:rsid w:val="00F96E65"/>
    <w:rsid w:val="00FA0D76"/>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table" w:styleId="TableGrid">
    <w:name w:val="Table Grid"/>
    <w:basedOn w:val="TableNormal"/>
    <w:uiPriority w:val="59"/>
    <w:rsid w:val="00E971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917</Words>
  <Characters>5233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2025-12-23T19:40:00Z</dcterms:created>
  <dcterms:modified xsi:type="dcterms:W3CDTF">2025-12-23T19:40:00Z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d2b29373-5f5b-416c-90e8-c87d0e32fbd9</vt:lpwstr>
  </property>
</Properties>
</file>