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9D22B" w14:textId="63EE0586" w:rsidR="00960B33" w:rsidRPr="001F43EB" w:rsidRDefault="00960B33" w:rsidP="00960B33">
      <w:pPr>
        <w:rPr>
          <w:szCs w:val="20"/>
        </w:rPr>
      </w:pPr>
      <w:bookmarkStart w:id="0" w:name="_Hlk196235994"/>
      <w:r w:rsidRPr="001F43EB">
        <w:rPr>
          <w:b/>
          <w:bCs/>
          <w:szCs w:val="20"/>
        </w:rPr>
        <w:t>R156.  Commerce, Professional Licensing.</w:t>
      </w:r>
    </w:p>
    <w:p w14:paraId="2EB088A6" w14:textId="77777777" w:rsidR="00960B33" w:rsidRPr="001F43EB" w:rsidRDefault="00960B33" w:rsidP="00960B33">
      <w:pPr>
        <w:rPr>
          <w:szCs w:val="20"/>
        </w:rPr>
      </w:pPr>
      <w:r w:rsidRPr="001F43EB">
        <w:rPr>
          <w:b/>
          <w:bCs/>
          <w:szCs w:val="20"/>
        </w:rPr>
        <w:t>R156-42a.  Occupational Therapy Practice Act Rule.</w:t>
      </w:r>
    </w:p>
    <w:p w14:paraId="457717A7" w14:textId="77777777" w:rsidR="00960B33" w:rsidRPr="001F43EB" w:rsidRDefault="00960B33" w:rsidP="00960B33">
      <w:pPr>
        <w:rPr>
          <w:szCs w:val="20"/>
        </w:rPr>
      </w:pPr>
      <w:r w:rsidRPr="001F43EB">
        <w:rPr>
          <w:b/>
          <w:bCs/>
          <w:szCs w:val="20"/>
        </w:rPr>
        <w:t>R156-42a-101.  Title.</w:t>
      </w:r>
    </w:p>
    <w:p w14:paraId="04D34939" w14:textId="3D56BFF8" w:rsidR="00960B33" w:rsidRPr="001F43EB" w:rsidRDefault="00960B33" w:rsidP="00960B33">
      <w:pPr>
        <w:rPr>
          <w:szCs w:val="20"/>
        </w:rPr>
      </w:pPr>
      <w:r w:rsidRPr="001F43EB">
        <w:rPr>
          <w:szCs w:val="20"/>
        </w:rPr>
        <w:tab/>
        <w:t>(1)  This rule is known as the "Occupational Therapy Practice Act Rule."</w:t>
      </w:r>
    </w:p>
    <w:p w14:paraId="38ACC43C" w14:textId="77777777" w:rsidR="00960B33" w:rsidRPr="001F43EB" w:rsidRDefault="00960B33" w:rsidP="00960B33">
      <w:pPr>
        <w:shd w:val="clear" w:color="auto" w:fill="FFFFFF"/>
        <w:rPr>
          <w:szCs w:val="20"/>
        </w:rPr>
      </w:pPr>
      <w:r w:rsidRPr="001F43EB">
        <w:rPr>
          <w:szCs w:val="20"/>
        </w:rPr>
        <w:tab/>
        <w:t>(2)  This rule is adopted by the Division under the authority of Subsection 58-1-106(1)(a) to enable the Division to administer Title 58, Chapter 42a, Occupational Therapy Practice Act.</w:t>
      </w:r>
    </w:p>
    <w:p w14:paraId="56F0F1EF" w14:textId="77777777" w:rsidR="00960B33" w:rsidRPr="001F43EB" w:rsidRDefault="00960B33" w:rsidP="00960B33">
      <w:pPr>
        <w:rPr>
          <w:szCs w:val="20"/>
        </w:rPr>
      </w:pPr>
      <w:r w:rsidRPr="001F43EB">
        <w:rPr>
          <w:szCs w:val="20"/>
        </w:rPr>
        <w:tab/>
      </w:r>
      <w:r w:rsidRPr="001F43EB">
        <w:rPr>
          <w:bCs/>
          <w:szCs w:val="20"/>
        </w:rPr>
        <w:t xml:space="preserve">(3) </w:t>
      </w:r>
      <w:r w:rsidRPr="001F43EB">
        <w:rPr>
          <w:szCs w:val="20"/>
        </w:rPr>
        <w:t xml:space="preserve"> The organization of this rule and its relationship to Rule R156-1 is as described in Section R156-1-101.</w:t>
      </w:r>
    </w:p>
    <w:p w14:paraId="747E4A3E" w14:textId="77777777" w:rsidR="00960B33" w:rsidRPr="001F43EB" w:rsidRDefault="00960B33" w:rsidP="00960B33">
      <w:pPr>
        <w:rPr>
          <w:szCs w:val="20"/>
        </w:rPr>
      </w:pPr>
    </w:p>
    <w:p w14:paraId="2BF3265C" w14:textId="77777777" w:rsidR="00960B33" w:rsidRPr="001F43EB" w:rsidRDefault="00960B33" w:rsidP="00960B33">
      <w:pPr>
        <w:rPr>
          <w:szCs w:val="20"/>
        </w:rPr>
      </w:pPr>
      <w:r w:rsidRPr="001F43EB">
        <w:rPr>
          <w:b/>
          <w:bCs/>
          <w:szCs w:val="20"/>
        </w:rPr>
        <w:t>R156-42a-102.  Definitions.</w:t>
      </w:r>
    </w:p>
    <w:p w14:paraId="2A135863" w14:textId="7F1C80A5" w:rsidR="00960B33" w:rsidRPr="001F43EB" w:rsidRDefault="00960B33" w:rsidP="00960B33">
      <w:pPr>
        <w:rPr>
          <w:szCs w:val="20"/>
        </w:rPr>
      </w:pPr>
      <w:r w:rsidRPr="001F43EB">
        <w:rPr>
          <w:szCs w:val="20"/>
        </w:rPr>
        <w:tab/>
        <w:t>Terms used in this rule are defined in Title 58, Chapter 1, Division of Professional Licensing, and Title 58, Chapter 42a, Occupational Therapy Practice Act. In addition:</w:t>
      </w:r>
    </w:p>
    <w:p w14:paraId="433293F3" w14:textId="77777777" w:rsidR="00960B33" w:rsidRPr="001F43EB" w:rsidRDefault="00960B33" w:rsidP="00960B33">
      <w:pPr>
        <w:rPr>
          <w:szCs w:val="20"/>
        </w:rPr>
      </w:pPr>
      <w:r w:rsidRPr="001F43EB">
        <w:rPr>
          <w:szCs w:val="20"/>
        </w:rPr>
        <w:tab/>
        <w:t>(1)  "AOTA" means the American Occupational Therapy Association.</w:t>
      </w:r>
    </w:p>
    <w:p w14:paraId="06629DC8" w14:textId="77777777" w:rsidR="00960B33" w:rsidRPr="001F43EB" w:rsidRDefault="00960B33" w:rsidP="00960B33">
      <w:pPr>
        <w:rPr>
          <w:szCs w:val="20"/>
        </w:rPr>
      </w:pPr>
      <w:r w:rsidRPr="001F43EB">
        <w:rPr>
          <w:szCs w:val="20"/>
        </w:rPr>
        <w:tab/>
        <w:t>(2)  "Client" or "patient" means an individual who lawfully receives professional services by a licensed occupational therapist or a licensed occupational therapist assistant.</w:t>
      </w:r>
    </w:p>
    <w:p w14:paraId="104BC698" w14:textId="67316BD1" w:rsidR="00960B33" w:rsidRPr="001F43EB" w:rsidRDefault="00960B33" w:rsidP="00960B33">
      <w:pPr>
        <w:rPr>
          <w:szCs w:val="20"/>
        </w:rPr>
      </w:pPr>
      <w:r w:rsidRPr="001F43EB">
        <w:rPr>
          <w:szCs w:val="20"/>
        </w:rPr>
        <w:tab/>
        <w:t>(3)  "Manual therapy" as used in Subsections 58-42a-102(6)(b)(vii)(L) and R156-42a-502(2) means the use of skilled hand movements to manipulate tissues of the body for a therapeutic purpose.</w:t>
      </w:r>
    </w:p>
    <w:p w14:paraId="460E6CE4" w14:textId="77777777" w:rsidR="00960B33" w:rsidRPr="001F43EB" w:rsidRDefault="00960B33" w:rsidP="00960B33">
      <w:pPr>
        <w:rPr>
          <w:szCs w:val="20"/>
        </w:rPr>
      </w:pPr>
      <w:r w:rsidRPr="001F43EB">
        <w:rPr>
          <w:szCs w:val="20"/>
        </w:rPr>
        <w:tab/>
        <w:t>(4)  "NBCOT" means the National Board for Certification in Occupational Therapy or a predecessor organization.</w:t>
      </w:r>
    </w:p>
    <w:p w14:paraId="32743F18" w14:textId="04212DA3" w:rsidR="00960B33" w:rsidRPr="001F43EB" w:rsidRDefault="00960B33" w:rsidP="00960B33">
      <w:pPr>
        <w:rPr>
          <w:szCs w:val="20"/>
        </w:rPr>
      </w:pPr>
      <w:r w:rsidRPr="001F43EB">
        <w:rPr>
          <w:szCs w:val="20"/>
        </w:rPr>
        <w:tab/>
        <w:t>(5)  "Physical agent modalities" as used in Subsections 58-42a-102(6)(b)(vii)(L) and R156-42a-502(2) means specialized treatment procedures that includes:</w:t>
      </w:r>
    </w:p>
    <w:p w14:paraId="30A55483" w14:textId="77777777" w:rsidR="00960B33" w:rsidRPr="001F43EB" w:rsidRDefault="00960B33" w:rsidP="00960B33">
      <w:pPr>
        <w:rPr>
          <w:szCs w:val="20"/>
        </w:rPr>
      </w:pPr>
      <w:r w:rsidRPr="001F43EB">
        <w:rPr>
          <w:szCs w:val="20"/>
        </w:rPr>
        <w:tab/>
        <w:t>(a)  superficial thermal agents;</w:t>
      </w:r>
    </w:p>
    <w:p w14:paraId="51A7E26E" w14:textId="77777777" w:rsidR="00960B33" w:rsidRPr="001F43EB" w:rsidRDefault="00960B33" w:rsidP="00960B33">
      <w:pPr>
        <w:rPr>
          <w:szCs w:val="20"/>
        </w:rPr>
      </w:pPr>
      <w:r w:rsidRPr="001F43EB">
        <w:rPr>
          <w:szCs w:val="20"/>
        </w:rPr>
        <w:tab/>
        <w:t>(b)  deep thermal agents;</w:t>
      </w:r>
    </w:p>
    <w:p w14:paraId="30A682AF" w14:textId="77777777" w:rsidR="00960B33" w:rsidRPr="001F43EB" w:rsidRDefault="00960B33" w:rsidP="00960B33">
      <w:pPr>
        <w:rPr>
          <w:szCs w:val="20"/>
        </w:rPr>
      </w:pPr>
      <w:r w:rsidRPr="001F43EB">
        <w:rPr>
          <w:szCs w:val="20"/>
        </w:rPr>
        <w:tab/>
        <w:t>(c)  electrotherapeutic agents; or</w:t>
      </w:r>
    </w:p>
    <w:p w14:paraId="7EF03C8D" w14:textId="77777777" w:rsidR="00960B33" w:rsidRPr="001F43EB" w:rsidRDefault="00960B33" w:rsidP="00960B33">
      <w:pPr>
        <w:rPr>
          <w:szCs w:val="20"/>
        </w:rPr>
      </w:pPr>
      <w:r w:rsidRPr="001F43EB">
        <w:rPr>
          <w:szCs w:val="20"/>
        </w:rPr>
        <w:tab/>
        <w:t>(d)  mechanical devices.</w:t>
      </w:r>
    </w:p>
    <w:p w14:paraId="614FEA47" w14:textId="247A5BD8" w:rsidR="00960B33" w:rsidRPr="001F43EB" w:rsidRDefault="00960B33" w:rsidP="00960B33">
      <w:pPr>
        <w:rPr>
          <w:szCs w:val="20"/>
        </w:rPr>
      </w:pPr>
      <w:r w:rsidRPr="001F43EB">
        <w:rPr>
          <w:szCs w:val="20"/>
        </w:rPr>
        <w:tab/>
        <w:t>(6)  "Qualified continuing professional education" or "CE" as used in Subsection 58-42a-303.5(1) means continuing education that meets the standards set forth in Section R156-42a-304.</w:t>
      </w:r>
    </w:p>
    <w:p w14:paraId="6DA7F0EB" w14:textId="0B5EFE2E" w:rsidR="00960B33" w:rsidRPr="001F43EB" w:rsidRDefault="00960B33" w:rsidP="00960B33">
      <w:pPr>
        <w:rPr>
          <w:szCs w:val="20"/>
        </w:rPr>
      </w:pPr>
      <w:r w:rsidRPr="001F43EB">
        <w:rPr>
          <w:szCs w:val="20"/>
        </w:rPr>
        <w:tab/>
        <w:t>(7)  "Wound care" as used in Subsections 58-42a-102(6)(b)(vii)(L), R156-42a-502(2), and R156-42a-601(2) means:</w:t>
      </w:r>
    </w:p>
    <w:p w14:paraId="5ED2481A" w14:textId="77777777" w:rsidR="00960B33" w:rsidRPr="001F43EB" w:rsidRDefault="00960B33" w:rsidP="00960B33">
      <w:pPr>
        <w:rPr>
          <w:szCs w:val="20"/>
        </w:rPr>
      </w:pPr>
      <w:r w:rsidRPr="001F43EB">
        <w:rPr>
          <w:szCs w:val="20"/>
        </w:rPr>
        <w:tab/>
        <w:t>(a)  the prevention of interruptions in skin and tissue integrity; and</w:t>
      </w:r>
    </w:p>
    <w:p w14:paraId="4424FA77" w14:textId="77777777" w:rsidR="00960B33" w:rsidRPr="001F43EB" w:rsidRDefault="00960B33" w:rsidP="00960B33">
      <w:pPr>
        <w:rPr>
          <w:szCs w:val="20"/>
        </w:rPr>
      </w:pPr>
      <w:r w:rsidRPr="001F43EB">
        <w:rPr>
          <w:szCs w:val="20"/>
        </w:rPr>
        <w:tab/>
        <w:t>(b)  the care and management of interruptions in skin and tissue integrity.</w:t>
      </w:r>
    </w:p>
    <w:p w14:paraId="59A98C15" w14:textId="3715B375" w:rsidR="00960B33" w:rsidRPr="001F43EB" w:rsidRDefault="00960B33" w:rsidP="00960B33">
      <w:pPr>
        <w:rPr>
          <w:szCs w:val="20"/>
        </w:rPr>
      </w:pPr>
    </w:p>
    <w:p w14:paraId="08AC9D95" w14:textId="77777777" w:rsidR="00960B33" w:rsidRPr="001F43EB" w:rsidRDefault="00960B33" w:rsidP="00960B33">
      <w:pPr>
        <w:rPr>
          <w:szCs w:val="20"/>
        </w:rPr>
      </w:pPr>
      <w:r w:rsidRPr="001F43EB">
        <w:rPr>
          <w:b/>
          <w:bCs/>
          <w:szCs w:val="20"/>
        </w:rPr>
        <w:t>R156-42a-302.  Qualifications for Licensure - Examination Requirements.</w:t>
      </w:r>
    </w:p>
    <w:p w14:paraId="0D01745B" w14:textId="036AD80F" w:rsidR="00960B33" w:rsidRPr="001F43EB" w:rsidRDefault="00960B33" w:rsidP="00960B33">
      <w:pPr>
        <w:rPr>
          <w:szCs w:val="20"/>
        </w:rPr>
      </w:pPr>
      <w:r w:rsidRPr="001F43EB">
        <w:rPr>
          <w:szCs w:val="20"/>
        </w:rPr>
        <w:tab/>
        <w:t>(1)  Under Subsection 58-42a-302(1), an applicant for occupational therapist licensure shall pass the Occupational Therapist Registered (OTR) certification examination from the NBCOT or a predecessor organization.</w:t>
      </w:r>
    </w:p>
    <w:p w14:paraId="0BD96D20" w14:textId="1AFCD257" w:rsidR="00960B33" w:rsidRPr="001F43EB" w:rsidRDefault="00960B33" w:rsidP="00960B33">
      <w:pPr>
        <w:rPr>
          <w:szCs w:val="20"/>
        </w:rPr>
      </w:pPr>
      <w:r w:rsidRPr="001F43EB">
        <w:rPr>
          <w:szCs w:val="20"/>
        </w:rPr>
        <w:tab/>
        <w:t>(2)  Under Subsection 58-42a-302(2), an applicant for occupational therapy assistant licensure shall pass the Certified Occupational Therapy Assistant (COTA) certification examination from the NBCOT or a predecessor organization.</w:t>
      </w:r>
    </w:p>
    <w:p w14:paraId="2F3C2298" w14:textId="77777777" w:rsidR="00960B33" w:rsidRPr="001F43EB" w:rsidRDefault="00960B33" w:rsidP="00960B33">
      <w:pPr>
        <w:rPr>
          <w:szCs w:val="20"/>
        </w:rPr>
      </w:pPr>
    </w:p>
    <w:p w14:paraId="3107DD03" w14:textId="77777777" w:rsidR="00960B33" w:rsidRPr="001F43EB" w:rsidRDefault="00960B33" w:rsidP="00960B33">
      <w:pPr>
        <w:rPr>
          <w:szCs w:val="20"/>
        </w:rPr>
      </w:pPr>
      <w:r w:rsidRPr="001F43EB">
        <w:rPr>
          <w:b/>
          <w:bCs/>
          <w:szCs w:val="20"/>
        </w:rPr>
        <w:t>R156-42a-303.  Expiration, Renewal, and Reinstatement of License.</w:t>
      </w:r>
    </w:p>
    <w:p w14:paraId="1857E07F" w14:textId="4FA5ACE3" w:rsidR="00960B33" w:rsidRPr="001F43EB" w:rsidRDefault="00960B33" w:rsidP="00960B33">
      <w:pPr>
        <w:rPr>
          <w:szCs w:val="20"/>
        </w:rPr>
      </w:pPr>
      <w:r w:rsidRPr="001F43EB">
        <w:rPr>
          <w:szCs w:val="20"/>
        </w:rPr>
        <w:tab/>
        <w:t>(1)  Under Subsections 58-1-308(1) and 58-42b-303(1), the renewal date for the two-year renewal cycle for licensees under Title 58, Chapter 42a, Occupational Therapy Practice Act, is established in Section R156-1-308a.</w:t>
      </w:r>
    </w:p>
    <w:p w14:paraId="7E4C3995" w14:textId="77777777" w:rsidR="00960B33" w:rsidRPr="001F43EB" w:rsidRDefault="00960B33" w:rsidP="00960B33">
      <w:pPr>
        <w:rPr>
          <w:szCs w:val="20"/>
        </w:rPr>
      </w:pPr>
      <w:r w:rsidRPr="001F43EB">
        <w:rPr>
          <w:szCs w:val="20"/>
        </w:rPr>
        <w:tab/>
        <w:t>(2)  Renewal and reinstatement procedures shall be in accordance with Sections R156-1-308a through R156-1-308l, except as provided in Subsection (3).</w:t>
      </w:r>
    </w:p>
    <w:p w14:paraId="4D49F3FA" w14:textId="42936721" w:rsidR="00960B33" w:rsidRPr="001F43EB" w:rsidRDefault="00960B33" w:rsidP="00960B33">
      <w:pPr>
        <w:rPr>
          <w:szCs w:val="20"/>
        </w:rPr>
      </w:pPr>
      <w:r w:rsidRPr="001F43EB">
        <w:rPr>
          <w:szCs w:val="20"/>
        </w:rPr>
        <w:tab/>
        <w:t>(3)  Under Subsection 58-1-308(5)(a)(ii)(B) and except as in Subsections 58-1-308(6)(b) and (7), an applicant whose licensure was active and in good standing when it expired may apply for reinstatement of licensure between two years and five years after the date of expiration if the applicant meets the following practice re-entry requirements:</w:t>
      </w:r>
    </w:p>
    <w:p w14:paraId="2921988F" w14:textId="2BE83003" w:rsidR="00960B33" w:rsidRPr="001F43EB" w:rsidRDefault="00960B33" w:rsidP="00960B33">
      <w:pPr>
        <w:rPr>
          <w:szCs w:val="20"/>
        </w:rPr>
      </w:pPr>
      <w:r w:rsidRPr="001F43EB">
        <w:rPr>
          <w:szCs w:val="20"/>
        </w:rPr>
        <w:tab/>
        <w:t>(a)  the applicant shall:</w:t>
      </w:r>
    </w:p>
    <w:p w14:paraId="08E67E85" w14:textId="11276B4B" w:rsidR="00960B33" w:rsidRPr="001F43EB" w:rsidRDefault="00960B33" w:rsidP="00960B33">
      <w:pPr>
        <w:rPr>
          <w:szCs w:val="20"/>
        </w:rPr>
      </w:pPr>
      <w:r w:rsidRPr="001F43EB">
        <w:rPr>
          <w:szCs w:val="20"/>
        </w:rPr>
        <w:tab/>
        <w:t>(</w:t>
      </w:r>
      <w:proofErr w:type="spellStart"/>
      <w:r w:rsidRPr="001F43EB">
        <w:rPr>
          <w:szCs w:val="20"/>
        </w:rPr>
        <w:t>i</w:t>
      </w:r>
      <w:proofErr w:type="spellEnd"/>
      <w:r w:rsidRPr="001F43EB">
        <w:rPr>
          <w:szCs w:val="20"/>
        </w:rPr>
        <w:t>)  submit an application demonstrating compliance with each requirement and condition of license renewal;</w:t>
      </w:r>
    </w:p>
    <w:p w14:paraId="0D905C42" w14:textId="77777777" w:rsidR="00960B33" w:rsidRPr="001F43EB" w:rsidRDefault="00960B33" w:rsidP="00960B33">
      <w:pPr>
        <w:rPr>
          <w:szCs w:val="20"/>
        </w:rPr>
      </w:pPr>
      <w:r w:rsidRPr="001F43EB">
        <w:rPr>
          <w:szCs w:val="20"/>
        </w:rPr>
        <w:tab/>
        <w:t>(ii)  pay all license renewal and reinstatement fees for the current renewal period; and</w:t>
      </w:r>
    </w:p>
    <w:p w14:paraId="762FFC55" w14:textId="4DD054E4" w:rsidR="00960B33" w:rsidRPr="001F43EB" w:rsidRDefault="00960B33" w:rsidP="00960B33">
      <w:pPr>
        <w:rPr>
          <w:szCs w:val="20"/>
        </w:rPr>
      </w:pPr>
      <w:r w:rsidRPr="001F43EB">
        <w:rPr>
          <w:szCs w:val="20"/>
        </w:rPr>
        <w:tab/>
        <w:t>(iii)  submit evidence of completion of qualified continuing professional education for each renewal period during which the license was expired;</w:t>
      </w:r>
    </w:p>
    <w:p w14:paraId="29F0371A" w14:textId="77777777" w:rsidR="00960B33" w:rsidRPr="001F43EB" w:rsidRDefault="00960B33" w:rsidP="00960B33">
      <w:pPr>
        <w:rPr>
          <w:rFonts w:eastAsia="Calibri"/>
          <w:szCs w:val="20"/>
        </w:rPr>
      </w:pPr>
      <w:r w:rsidRPr="001F43EB">
        <w:rPr>
          <w:szCs w:val="20"/>
        </w:rPr>
        <w:tab/>
      </w:r>
      <w:r w:rsidRPr="001F43EB">
        <w:rPr>
          <w:rFonts w:eastAsia="Calibri"/>
          <w:szCs w:val="20"/>
        </w:rPr>
        <w:t>(b)  if not previously completed, the applicant shall submit to and pass a criminal background check under Section 58-1-301.5; and</w:t>
      </w:r>
    </w:p>
    <w:p w14:paraId="7F7E9B69" w14:textId="758C603A" w:rsidR="00960B33" w:rsidRPr="001F43EB" w:rsidRDefault="00960B33" w:rsidP="00960B33">
      <w:pPr>
        <w:rPr>
          <w:szCs w:val="20"/>
        </w:rPr>
      </w:pPr>
      <w:r w:rsidRPr="001F43EB">
        <w:rPr>
          <w:szCs w:val="20"/>
        </w:rPr>
        <w:tab/>
        <w:t>(c)  if the applicant has been out of practice more than two years but less than five years, the applicant shall:</w:t>
      </w:r>
    </w:p>
    <w:p w14:paraId="371D0979" w14:textId="25549446" w:rsidR="00960B33" w:rsidRPr="001F43EB" w:rsidRDefault="00960B33" w:rsidP="00960B33">
      <w:pPr>
        <w:rPr>
          <w:szCs w:val="20"/>
        </w:rPr>
      </w:pPr>
      <w:r w:rsidRPr="001F43EB">
        <w:rPr>
          <w:szCs w:val="20"/>
        </w:rPr>
        <w:tab/>
        <w:t>(</w:t>
      </w:r>
      <w:proofErr w:type="spellStart"/>
      <w:r w:rsidRPr="001F43EB">
        <w:rPr>
          <w:szCs w:val="20"/>
        </w:rPr>
        <w:t>i</w:t>
      </w:r>
      <w:proofErr w:type="spellEnd"/>
      <w:r w:rsidRPr="001F43EB">
        <w:rPr>
          <w:szCs w:val="20"/>
        </w:rPr>
        <w:t>)  meet with the Board to evaluate the applicant's:</w:t>
      </w:r>
    </w:p>
    <w:p w14:paraId="70014A62" w14:textId="77777777" w:rsidR="00960B33" w:rsidRPr="001F43EB" w:rsidRDefault="00960B33" w:rsidP="00960B33">
      <w:pPr>
        <w:rPr>
          <w:rFonts w:eastAsia="Calibri"/>
          <w:szCs w:val="20"/>
        </w:rPr>
      </w:pPr>
      <w:r w:rsidRPr="001F43EB">
        <w:rPr>
          <w:szCs w:val="20"/>
        </w:rPr>
        <w:tab/>
      </w:r>
      <w:r w:rsidRPr="001F43EB">
        <w:rPr>
          <w:rFonts w:eastAsia="Calibri"/>
          <w:szCs w:val="20"/>
        </w:rPr>
        <w:t>(A)  qualifications for licensure; and</w:t>
      </w:r>
    </w:p>
    <w:p w14:paraId="7C8F9339" w14:textId="77777777" w:rsidR="00960B33" w:rsidRPr="001F43EB" w:rsidRDefault="00960B33" w:rsidP="00960B33">
      <w:pPr>
        <w:rPr>
          <w:rFonts w:eastAsia="Calibri"/>
          <w:szCs w:val="20"/>
        </w:rPr>
      </w:pPr>
      <w:r w:rsidRPr="001F43EB">
        <w:rPr>
          <w:szCs w:val="20"/>
        </w:rPr>
        <w:tab/>
      </w:r>
      <w:r w:rsidRPr="001F43EB">
        <w:rPr>
          <w:rFonts w:eastAsia="Calibri"/>
          <w:szCs w:val="20"/>
        </w:rPr>
        <w:t>(B)  ability to safely and competently practice occupational therapy; and</w:t>
      </w:r>
    </w:p>
    <w:p w14:paraId="2B0FFB34" w14:textId="1937B3F9" w:rsidR="00960B33" w:rsidRPr="001F43EB" w:rsidRDefault="00960B33" w:rsidP="00960B33">
      <w:pPr>
        <w:rPr>
          <w:szCs w:val="20"/>
        </w:rPr>
      </w:pPr>
      <w:r w:rsidRPr="001F43EB">
        <w:rPr>
          <w:szCs w:val="20"/>
        </w:rPr>
        <w:tab/>
        <w:t>(ii)  comply with each additional licensure requirement or condition considered necessary by the Division in collaboration with the Board to protect the public and ensure that the applicant is currently competent to engage in the profession.</w:t>
      </w:r>
    </w:p>
    <w:p w14:paraId="1F24B95B" w14:textId="77777777" w:rsidR="00960B33" w:rsidRPr="001F43EB" w:rsidRDefault="00960B33" w:rsidP="00960B33">
      <w:pPr>
        <w:rPr>
          <w:szCs w:val="20"/>
        </w:rPr>
      </w:pPr>
    </w:p>
    <w:p w14:paraId="5EE7AC20" w14:textId="77777777" w:rsidR="00960B33" w:rsidRPr="001F43EB" w:rsidRDefault="00960B33" w:rsidP="00960B33">
      <w:pPr>
        <w:rPr>
          <w:szCs w:val="20"/>
        </w:rPr>
      </w:pPr>
      <w:r w:rsidRPr="001F43EB">
        <w:rPr>
          <w:b/>
          <w:bCs/>
          <w:szCs w:val="20"/>
        </w:rPr>
        <w:t>R156-42a-304.  Qualified Continuing Professional Education.</w:t>
      </w:r>
    </w:p>
    <w:p w14:paraId="78C3402E" w14:textId="77777777" w:rsidR="00960B33" w:rsidRPr="001F43EB" w:rsidRDefault="00960B33" w:rsidP="00960B33">
      <w:pPr>
        <w:shd w:val="clear" w:color="auto" w:fill="FFFFFF"/>
        <w:rPr>
          <w:szCs w:val="20"/>
        </w:rPr>
      </w:pPr>
      <w:r w:rsidRPr="001F43EB">
        <w:rPr>
          <w:szCs w:val="20"/>
        </w:rPr>
        <w:tab/>
        <w:t>(1)  Under Subsections 58-1-203(1)(g), 58-1-308(3)(b)(</w:t>
      </w:r>
      <w:proofErr w:type="spellStart"/>
      <w:r w:rsidRPr="001F43EB">
        <w:rPr>
          <w:szCs w:val="20"/>
        </w:rPr>
        <w:t>i</w:t>
      </w:r>
      <w:proofErr w:type="spellEnd"/>
      <w:r w:rsidRPr="001F43EB">
        <w:rPr>
          <w:szCs w:val="20"/>
        </w:rPr>
        <w:t xml:space="preserve">), and 58-42a-303.5(1), </w:t>
      </w:r>
      <w:r w:rsidRPr="001F43EB">
        <w:rPr>
          <w:szCs w:val="20"/>
          <w:shd w:val="clear" w:color="auto" w:fill="FFFFFF"/>
        </w:rPr>
        <w:t>the qualified continuing professional education requirements for occupational therapists and occupational therapist assistants during each two-year renewal cycle are defined, clarified, and established in this section.</w:t>
      </w:r>
    </w:p>
    <w:p w14:paraId="1E4D457B" w14:textId="77777777" w:rsidR="00960B33" w:rsidRPr="001F43EB" w:rsidRDefault="00960B33" w:rsidP="00960B33">
      <w:pPr>
        <w:rPr>
          <w:szCs w:val="20"/>
        </w:rPr>
      </w:pPr>
      <w:r w:rsidRPr="001F43EB">
        <w:rPr>
          <w:szCs w:val="20"/>
        </w:rPr>
        <w:tab/>
        <w:t>(2)  During each two-year renewal cycle or before reinstatement of licensure, a licensee shall:</w:t>
      </w:r>
    </w:p>
    <w:p w14:paraId="156F4E23" w14:textId="77777777" w:rsidR="00960B33" w:rsidRPr="001F43EB" w:rsidRDefault="00960B33" w:rsidP="00960B33">
      <w:pPr>
        <w:rPr>
          <w:szCs w:val="20"/>
        </w:rPr>
      </w:pPr>
      <w:r w:rsidRPr="001F43EB">
        <w:rPr>
          <w:szCs w:val="20"/>
        </w:rPr>
        <w:lastRenderedPageBreak/>
        <w:tab/>
        <w:t>(</w:t>
      </w:r>
      <w:proofErr w:type="spellStart"/>
      <w:r w:rsidRPr="001F43EB">
        <w:rPr>
          <w:szCs w:val="20"/>
        </w:rPr>
        <w:t>i</w:t>
      </w:r>
      <w:proofErr w:type="spellEnd"/>
      <w:r w:rsidRPr="001F43EB">
        <w:rPr>
          <w:szCs w:val="20"/>
        </w:rPr>
        <w:t>)  complete at least two hours of qualified continuing professional education in legal and ethical principles; and</w:t>
      </w:r>
    </w:p>
    <w:p w14:paraId="6A154F02" w14:textId="77777777" w:rsidR="00960B33" w:rsidRPr="001F43EB" w:rsidRDefault="00960B33" w:rsidP="00960B33">
      <w:pPr>
        <w:rPr>
          <w:szCs w:val="20"/>
        </w:rPr>
      </w:pPr>
      <w:r w:rsidRPr="001F43EB">
        <w:rPr>
          <w:szCs w:val="20"/>
        </w:rPr>
        <w:tab/>
        <w:t>(ii)(A)  complete at least 24 hours of qualified continuing professional education; or</w:t>
      </w:r>
    </w:p>
    <w:p w14:paraId="4E84E5B4" w14:textId="77777777" w:rsidR="00960B33" w:rsidRPr="001F43EB" w:rsidRDefault="00960B33" w:rsidP="00960B33">
      <w:pPr>
        <w:rPr>
          <w:szCs w:val="20"/>
        </w:rPr>
      </w:pPr>
      <w:r w:rsidRPr="001F43EB">
        <w:rPr>
          <w:szCs w:val="20"/>
        </w:rPr>
        <w:tab/>
        <w:t>(B)  maintain current and active NBCOT certification.</w:t>
      </w:r>
    </w:p>
    <w:p w14:paraId="5D8C8447" w14:textId="4C20612A" w:rsidR="00960B33" w:rsidRPr="001F43EB" w:rsidRDefault="00960B33" w:rsidP="00960B33">
      <w:pPr>
        <w:rPr>
          <w:szCs w:val="20"/>
        </w:rPr>
      </w:pPr>
      <w:r w:rsidRPr="001F43EB">
        <w:rPr>
          <w:szCs w:val="20"/>
        </w:rPr>
        <w:tab/>
        <w:t>(3)  A qualified continuing professional education course shall meet the following requirements:</w:t>
      </w:r>
    </w:p>
    <w:p w14:paraId="20643E8D" w14:textId="77777777" w:rsidR="00960B33" w:rsidRPr="001F43EB" w:rsidRDefault="00960B33" w:rsidP="00960B33">
      <w:pPr>
        <w:rPr>
          <w:szCs w:val="20"/>
        </w:rPr>
      </w:pPr>
      <w:r w:rsidRPr="001F43EB">
        <w:rPr>
          <w:szCs w:val="20"/>
        </w:rPr>
        <w:tab/>
      </w:r>
      <w:r w:rsidRPr="001F43EB">
        <w:rPr>
          <w:szCs w:val="20"/>
          <w:shd w:val="clear" w:color="auto" w:fill="FFFFFF"/>
        </w:rPr>
        <w:t>(a)  have learning objectives that are clearly stated in course material that are directly related to the practice of occupational therapy;</w:t>
      </w:r>
    </w:p>
    <w:p w14:paraId="40C07CB7" w14:textId="57B6C648" w:rsidR="00960B33" w:rsidRPr="001F43EB" w:rsidRDefault="00960B33" w:rsidP="00960B33">
      <w:pPr>
        <w:rPr>
          <w:szCs w:val="20"/>
        </w:rPr>
      </w:pPr>
      <w:r w:rsidRPr="001F43EB">
        <w:rPr>
          <w:szCs w:val="20"/>
        </w:rPr>
        <w:tab/>
        <w:t>(b)  be relevant to the practice of occupational therapy;</w:t>
      </w:r>
    </w:p>
    <w:p w14:paraId="337D5BFD" w14:textId="77777777" w:rsidR="00960B33" w:rsidRPr="001F43EB" w:rsidRDefault="00960B33" w:rsidP="00960B33">
      <w:pPr>
        <w:rPr>
          <w:szCs w:val="20"/>
        </w:rPr>
      </w:pPr>
      <w:r w:rsidRPr="001F43EB">
        <w:rPr>
          <w:szCs w:val="20"/>
        </w:rPr>
        <w:tab/>
        <w:t>(c)  be prepared and presented by individuals who are qualified by education, training, and experience;</w:t>
      </w:r>
    </w:p>
    <w:p w14:paraId="6B3EB4C7" w14:textId="6245A3C8" w:rsidR="00960B33" w:rsidRPr="001F43EB" w:rsidRDefault="00960B33" w:rsidP="00960B33">
      <w:pPr>
        <w:rPr>
          <w:szCs w:val="20"/>
        </w:rPr>
      </w:pPr>
      <w:r w:rsidRPr="001F43EB">
        <w:rPr>
          <w:szCs w:val="20"/>
        </w:rPr>
        <w:tab/>
        <w:t>(d)  be presented in a competent, well-organized, and sequential manner consistent with the stated learning objectives of the course;</w:t>
      </w:r>
    </w:p>
    <w:p w14:paraId="1AFA5183" w14:textId="77777777" w:rsidR="00960B33" w:rsidRPr="001F43EB" w:rsidRDefault="00960B33" w:rsidP="00960B33">
      <w:pPr>
        <w:shd w:val="clear" w:color="auto" w:fill="FFFFFF"/>
        <w:rPr>
          <w:szCs w:val="20"/>
        </w:rPr>
      </w:pPr>
      <w:r w:rsidRPr="001F43EB">
        <w:rPr>
          <w:szCs w:val="20"/>
        </w:rPr>
        <w:tab/>
        <w:t>(e)  be approved, conducted, or sponsored by:</w:t>
      </w:r>
    </w:p>
    <w:p w14:paraId="1015C7FD" w14:textId="77777777" w:rsidR="00960B33" w:rsidRPr="001F43EB" w:rsidRDefault="00960B33" w:rsidP="00960B33">
      <w:pPr>
        <w:shd w:val="clear" w:color="auto" w:fill="FFFFFF"/>
        <w:rPr>
          <w:szCs w:val="20"/>
        </w:rPr>
      </w:pPr>
      <w:r w:rsidRPr="001F43EB">
        <w:rPr>
          <w:szCs w:val="20"/>
        </w:rPr>
        <w:tab/>
        <w:t>(</w:t>
      </w:r>
      <w:proofErr w:type="spellStart"/>
      <w:r w:rsidRPr="001F43EB">
        <w:rPr>
          <w:szCs w:val="20"/>
        </w:rPr>
        <w:t>i</w:t>
      </w:r>
      <w:proofErr w:type="spellEnd"/>
      <w:r w:rsidRPr="001F43EB">
        <w:rPr>
          <w:szCs w:val="20"/>
        </w:rPr>
        <w:t>)  a recognized accredited college or university;</w:t>
      </w:r>
    </w:p>
    <w:p w14:paraId="2EA5EDA2" w14:textId="77777777" w:rsidR="00960B33" w:rsidRPr="001F43EB" w:rsidRDefault="00960B33" w:rsidP="00960B33">
      <w:pPr>
        <w:shd w:val="clear" w:color="auto" w:fill="FFFFFF"/>
        <w:rPr>
          <w:szCs w:val="20"/>
        </w:rPr>
      </w:pPr>
      <w:r w:rsidRPr="001F43EB">
        <w:rPr>
          <w:szCs w:val="20"/>
        </w:rPr>
        <w:tab/>
        <w:t>(ii)  a state or federal agency;</w:t>
      </w:r>
    </w:p>
    <w:p w14:paraId="2E9A2696" w14:textId="77777777" w:rsidR="00960B33" w:rsidRPr="001F43EB" w:rsidRDefault="00960B33" w:rsidP="00960B33">
      <w:pPr>
        <w:shd w:val="clear" w:color="auto" w:fill="FFFFFF"/>
        <w:rPr>
          <w:szCs w:val="20"/>
        </w:rPr>
      </w:pPr>
      <w:r w:rsidRPr="001F43EB">
        <w:rPr>
          <w:szCs w:val="20"/>
        </w:rPr>
        <w:tab/>
        <w:t>(iii)  a professional association, organization, or facility involved in the practice of occupational therapy; or</w:t>
      </w:r>
    </w:p>
    <w:p w14:paraId="6AC70DF3" w14:textId="77777777" w:rsidR="00960B33" w:rsidRPr="001F43EB" w:rsidRDefault="00960B33" w:rsidP="00960B33">
      <w:pPr>
        <w:shd w:val="clear" w:color="auto" w:fill="FFFFFF"/>
        <w:rPr>
          <w:szCs w:val="20"/>
        </w:rPr>
      </w:pPr>
      <w:r w:rsidRPr="001F43EB">
        <w:rPr>
          <w:szCs w:val="20"/>
        </w:rPr>
        <w:tab/>
        <w:t>(iv)  a commercial continuing education provider;</w:t>
      </w:r>
    </w:p>
    <w:p w14:paraId="716F0BBA" w14:textId="77777777" w:rsidR="00960B33" w:rsidRPr="001F43EB" w:rsidRDefault="00960B33" w:rsidP="00960B33">
      <w:pPr>
        <w:rPr>
          <w:szCs w:val="20"/>
        </w:rPr>
      </w:pPr>
      <w:r w:rsidRPr="001F43EB">
        <w:rPr>
          <w:szCs w:val="20"/>
        </w:rPr>
        <w:tab/>
        <w:t>(f)  be completed in blocks of time of at least 50 minutes;</w:t>
      </w:r>
    </w:p>
    <w:p w14:paraId="4C21C080" w14:textId="77777777" w:rsidR="00960B33" w:rsidRPr="001F43EB" w:rsidRDefault="00960B33" w:rsidP="00960B33">
      <w:pPr>
        <w:rPr>
          <w:szCs w:val="20"/>
        </w:rPr>
      </w:pPr>
      <w:r w:rsidRPr="001F43EB">
        <w:rPr>
          <w:szCs w:val="20"/>
        </w:rPr>
        <w:tab/>
        <w:t>(g)  be completed in one of the following formats:</w:t>
      </w:r>
    </w:p>
    <w:p w14:paraId="45E2D7ED" w14:textId="77777777" w:rsidR="00960B33" w:rsidRPr="001F43EB" w:rsidRDefault="00960B33" w:rsidP="00960B33">
      <w:pPr>
        <w:rPr>
          <w:szCs w:val="20"/>
        </w:rPr>
      </w:pPr>
      <w:r w:rsidRPr="001F43EB">
        <w:rPr>
          <w:szCs w:val="20"/>
        </w:rPr>
        <w:tab/>
        <w:t>(</w:t>
      </w:r>
      <w:proofErr w:type="spellStart"/>
      <w:r w:rsidRPr="001F43EB">
        <w:rPr>
          <w:szCs w:val="20"/>
        </w:rPr>
        <w:t>i</w:t>
      </w:r>
      <w:proofErr w:type="spellEnd"/>
      <w:r w:rsidRPr="001F43EB">
        <w:rPr>
          <w:szCs w:val="20"/>
        </w:rPr>
        <w:t>)  college or university lecture and discussion;</w:t>
      </w:r>
    </w:p>
    <w:p w14:paraId="2A826861" w14:textId="77777777" w:rsidR="00960B33" w:rsidRPr="001F43EB" w:rsidRDefault="00960B33" w:rsidP="00960B33">
      <w:pPr>
        <w:rPr>
          <w:szCs w:val="20"/>
        </w:rPr>
      </w:pPr>
      <w:r w:rsidRPr="001F43EB">
        <w:rPr>
          <w:szCs w:val="20"/>
        </w:rPr>
        <w:tab/>
        <w:t>(ii)  professional conference;</w:t>
      </w:r>
    </w:p>
    <w:p w14:paraId="67EB1D70" w14:textId="77777777" w:rsidR="00960B33" w:rsidRPr="001F43EB" w:rsidRDefault="00960B33" w:rsidP="00960B33">
      <w:pPr>
        <w:rPr>
          <w:szCs w:val="20"/>
        </w:rPr>
      </w:pPr>
      <w:r w:rsidRPr="001F43EB">
        <w:rPr>
          <w:szCs w:val="20"/>
        </w:rPr>
        <w:tab/>
        <w:t>(iii)  seminar;</w:t>
      </w:r>
    </w:p>
    <w:p w14:paraId="41D5477A" w14:textId="77777777" w:rsidR="00960B33" w:rsidRPr="001F43EB" w:rsidRDefault="00960B33" w:rsidP="00960B33">
      <w:pPr>
        <w:rPr>
          <w:szCs w:val="20"/>
        </w:rPr>
      </w:pPr>
      <w:r w:rsidRPr="001F43EB">
        <w:rPr>
          <w:szCs w:val="20"/>
        </w:rPr>
        <w:tab/>
        <w:t>(iv)  training session;</w:t>
      </w:r>
    </w:p>
    <w:p w14:paraId="2E23DB7A" w14:textId="77777777" w:rsidR="00960B33" w:rsidRPr="001F43EB" w:rsidRDefault="00960B33" w:rsidP="00960B33">
      <w:pPr>
        <w:rPr>
          <w:szCs w:val="20"/>
        </w:rPr>
      </w:pPr>
      <w:r w:rsidRPr="001F43EB">
        <w:rPr>
          <w:szCs w:val="20"/>
        </w:rPr>
        <w:tab/>
        <w:t>(v)  synchronous distance learning course that is clearly documented as real-time and interactive;</w:t>
      </w:r>
    </w:p>
    <w:p w14:paraId="30A7AE17" w14:textId="77777777" w:rsidR="00960B33" w:rsidRPr="001F43EB" w:rsidRDefault="00960B33" w:rsidP="00960B33">
      <w:pPr>
        <w:rPr>
          <w:szCs w:val="20"/>
        </w:rPr>
      </w:pPr>
      <w:r w:rsidRPr="001F43EB">
        <w:rPr>
          <w:szCs w:val="20"/>
        </w:rPr>
        <w:tab/>
        <w:t>(vi)  asynchronous distance learning course that is not real-time or interactive;</w:t>
      </w:r>
    </w:p>
    <w:p w14:paraId="2BCE68DF" w14:textId="77777777" w:rsidR="00960B33" w:rsidRPr="001F43EB" w:rsidRDefault="00960B33" w:rsidP="00960B33">
      <w:pPr>
        <w:rPr>
          <w:szCs w:val="20"/>
        </w:rPr>
      </w:pPr>
      <w:r w:rsidRPr="001F43EB">
        <w:rPr>
          <w:szCs w:val="20"/>
        </w:rPr>
        <w:tab/>
        <w:t>(vii)  authoring a scholarly peer-reviewed journal article, book, or book chapter;</w:t>
      </w:r>
    </w:p>
    <w:p w14:paraId="2899F58D" w14:textId="77777777" w:rsidR="00960B33" w:rsidRPr="001F43EB" w:rsidRDefault="00960B33" w:rsidP="00960B33">
      <w:pPr>
        <w:rPr>
          <w:szCs w:val="20"/>
        </w:rPr>
      </w:pPr>
      <w:r w:rsidRPr="001F43EB">
        <w:rPr>
          <w:szCs w:val="20"/>
        </w:rPr>
        <w:tab/>
        <w:t>(viii)  volunteer service on a board, committee, or in a leadership role in any state, national, or international organization for the development and improvement of occupational therapy; or</w:t>
      </w:r>
    </w:p>
    <w:p w14:paraId="356DE117" w14:textId="77777777" w:rsidR="00960B33" w:rsidRPr="001F43EB" w:rsidRDefault="00960B33" w:rsidP="00960B33">
      <w:pPr>
        <w:shd w:val="clear" w:color="auto" w:fill="FFFFFF"/>
        <w:rPr>
          <w:szCs w:val="20"/>
        </w:rPr>
      </w:pPr>
      <w:r w:rsidRPr="001F43EB">
        <w:rPr>
          <w:szCs w:val="20"/>
        </w:rPr>
        <w:tab/>
        <w:t>(ix)  studying a scholarly peer-reviewed journal article; and</w:t>
      </w:r>
    </w:p>
    <w:p w14:paraId="5360F20A" w14:textId="77777777" w:rsidR="00960B33" w:rsidRPr="001F43EB" w:rsidRDefault="00960B33" w:rsidP="00960B33">
      <w:pPr>
        <w:rPr>
          <w:szCs w:val="20"/>
        </w:rPr>
      </w:pPr>
      <w:r w:rsidRPr="001F43EB">
        <w:rPr>
          <w:szCs w:val="20"/>
        </w:rPr>
        <w:tab/>
        <w:t>(h)  is verified as follows:</w:t>
      </w:r>
    </w:p>
    <w:p w14:paraId="49325CCC" w14:textId="77777777" w:rsidR="00960B33" w:rsidRPr="001F43EB" w:rsidRDefault="00960B33" w:rsidP="00960B33">
      <w:pPr>
        <w:rPr>
          <w:szCs w:val="20"/>
        </w:rPr>
      </w:pPr>
      <w:r w:rsidRPr="001F43EB">
        <w:rPr>
          <w:szCs w:val="20"/>
        </w:rPr>
        <w:tab/>
        <w:t>(</w:t>
      </w:r>
      <w:proofErr w:type="spellStart"/>
      <w:r w:rsidRPr="001F43EB">
        <w:rPr>
          <w:szCs w:val="20"/>
        </w:rPr>
        <w:t>i</w:t>
      </w:r>
      <w:proofErr w:type="spellEnd"/>
      <w:r w:rsidRPr="001F43EB">
        <w:rPr>
          <w:szCs w:val="20"/>
        </w:rPr>
        <w:t>)  a certificate of course completion that includes:</w:t>
      </w:r>
    </w:p>
    <w:p w14:paraId="2C1EDEEB" w14:textId="77777777" w:rsidR="00960B33" w:rsidRPr="001F43EB" w:rsidRDefault="00960B33" w:rsidP="00960B33">
      <w:pPr>
        <w:rPr>
          <w:szCs w:val="20"/>
        </w:rPr>
      </w:pPr>
      <w:r w:rsidRPr="001F43EB">
        <w:rPr>
          <w:szCs w:val="20"/>
        </w:rPr>
        <w:tab/>
        <w:t>(A)  the name of the attendee;</w:t>
      </w:r>
    </w:p>
    <w:p w14:paraId="375AAAEC" w14:textId="77777777" w:rsidR="00960B33" w:rsidRPr="001F43EB" w:rsidRDefault="00960B33" w:rsidP="00960B33">
      <w:pPr>
        <w:rPr>
          <w:szCs w:val="20"/>
        </w:rPr>
      </w:pPr>
      <w:r w:rsidRPr="001F43EB">
        <w:rPr>
          <w:szCs w:val="20"/>
        </w:rPr>
        <w:tab/>
        <w:t>(B)  the name of course provider;</w:t>
      </w:r>
    </w:p>
    <w:p w14:paraId="2C5BF980" w14:textId="77777777" w:rsidR="00960B33" w:rsidRPr="001F43EB" w:rsidRDefault="00960B33" w:rsidP="00960B33">
      <w:pPr>
        <w:rPr>
          <w:szCs w:val="20"/>
        </w:rPr>
      </w:pPr>
      <w:r w:rsidRPr="001F43EB">
        <w:rPr>
          <w:szCs w:val="20"/>
        </w:rPr>
        <w:tab/>
        <w:t>(C)  the name of instructor;</w:t>
      </w:r>
    </w:p>
    <w:p w14:paraId="5F7F6E34" w14:textId="77777777" w:rsidR="00960B33" w:rsidRPr="001F43EB" w:rsidRDefault="00960B33" w:rsidP="00960B33">
      <w:pPr>
        <w:rPr>
          <w:szCs w:val="20"/>
        </w:rPr>
      </w:pPr>
      <w:r w:rsidRPr="001F43EB">
        <w:rPr>
          <w:szCs w:val="20"/>
        </w:rPr>
        <w:tab/>
        <w:t>(D)  the date of the course;</w:t>
      </w:r>
    </w:p>
    <w:p w14:paraId="36B39E67" w14:textId="77777777" w:rsidR="00960B33" w:rsidRPr="001F43EB" w:rsidRDefault="00960B33" w:rsidP="00960B33">
      <w:pPr>
        <w:rPr>
          <w:szCs w:val="20"/>
        </w:rPr>
      </w:pPr>
      <w:r w:rsidRPr="001F43EB">
        <w:rPr>
          <w:szCs w:val="20"/>
        </w:rPr>
        <w:tab/>
        <w:t>(E)  the title of the course;</w:t>
      </w:r>
    </w:p>
    <w:p w14:paraId="23D0A345" w14:textId="77777777" w:rsidR="00960B33" w:rsidRPr="001F43EB" w:rsidRDefault="00960B33" w:rsidP="00960B33">
      <w:pPr>
        <w:rPr>
          <w:szCs w:val="20"/>
        </w:rPr>
      </w:pPr>
      <w:r w:rsidRPr="001F43EB">
        <w:rPr>
          <w:szCs w:val="20"/>
        </w:rPr>
        <w:tab/>
        <w:t>(F)  the number of course hours;</w:t>
      </w:r>
    </w:p>
    <w:p w14:paraId="16145D58" w14:textId="77777777" w:rsidR="00960B33" w:rsidRPr="001F43EB" w:rsidRDefault="00960B33" w:rsidP="00960B33">
      <w:pPr>
        <w:rPr>
          <w:szCs w:val="20"/>
        </w:rPr>
      </w:pPr>
      <w:r w:rsidRPr="001F43EB">
        <w:rPr>
          <w:szCs w:val="20"/>
        </w:rPr>
        <w:tab/>
        <w:t>(G)  the course objectives; and</w:t>
      </w:r>
    </w:p>
    <w:p w14:paraId="264DB331" w14:textId="77777777" w:rsidR="00960B33" w:rsidRPr="001F43EB" w:rsidRDefault="00960B33" w:rsidP="00960B33">
      <w:pPr>
        <w:rPr>
          <w:szCs w:val="20"/>
        </w:rPr>
      </w:pPr>
      <w:r w:rsidRPr="001F43EB">
        <w:rPr>
          <w:szCs w:val="20"/>
        </w:rPr>
        <w:tab/>
        <w:t>(H)  the format listed under Subsection (3)(g); or</w:t>
      </w:r>
    </w:p>
    <w:p w14:paraId="0DE01773" w14:textId="77777777" w:rsidR="00960B33" w:rsidRPr="001F43EB" w:rsidRDefault="00960B33" w:rsidP="00960B33">
      <w:pPr>
        <w:shd w:val="clear" w:color="auto" w:fill="FFFFFF"/>
        <w:rPr>
          <w:szCs w:val="20"/>
        </w:rPr>
      </w:pPr>
      <w:r w:rsidRPr="001F43EB">
        <w:rPr>
          <w:szCs w:val="20"/>
        </w:rPr>
        <w:tab/>
        <w:t>(ii)  if the qualified continuing professional education course is self-directed including independent study or authoring a journal article documentation that includes:</w:t>
      </w:r>
    </w:p>
    <w:p w14:paraId="68F0568A" w14:textId="77777777" w:rsidR="00960B33" w:rsidRPr="001F43EB" w:rsidRDefault="00960B33" w:rsidP="00960B33">
      <w:pPr>
        <w:shd w:val="clear" w:color="auto" w:fill="FFFFFF"/>
        <w:rPr>
          <w:szCs w:val="20"/>
        </w:rPr>
      </w:pPr>
      <w:r w:rsidRPr="001F43EB">
        <w:rPr>
          <w:szCs w:val="20"/>
        </w:rPr>
        <w:tab/>
        <w:t>(A)  the date of study or research;</w:t>
      </w:r>
    </w:p>
    <w:p w14:paraId="6734DC13" w14:textId="77777777" w:rsidR="00960B33" w:rsidRPr="001F43EB" w:rsidRDefault="00960B33" w:rsidP="00960B33">
      <w:pPr>
        <w:shd w:val="clear" w:color="auto" w:fill="FFFFFF"/>
        <w:rPr>
          <w:szCs w:val="20"/>
        </w:rPr>
      </w:pPr>
      <w:r w:rsidRPr="001F43EB">
        <w:rPr>
          <w:szCs w:val="20"/>
        </w:rPr>
        <w:tab/>
        <w:t>(B)  the title and an abstract of the article, textbook chapter, or platform presentation;</w:t>
      </w:r>
    </w:p>
    <w:p w14:paraId="71EBACFA" w14:textId="77777777" w:rsidR="00960B33" w:rsidRPr="001F43EB" w:rsidRDefault="00960B33" w:rsidP="00960B33">
      <w:pPr>
        <w:shd w:val="clear" w:color="auto" w:fill="FFFFFF"/>
        <w:rPr>
          <w:szCs w:val="20"/>
        </w:rPr>
      </w:pPr>
      <w:r w:rsidRPr="001F43EB">
        <w:rPr>
          <w:szCs w:val="20"/>
        </w:rPr>
        <w:tab/>
        <w:t>(C)  objectives of a self-study course; and</w:t>
      </w:r>
    </w:p>
    <w:p w14:paraId="7957D81F" w14:textId="77777777" w:rsidR="00960B33" w:rsidRPr="001F43EB" w:rsidRDefault="00960B33" w:rsidP="00960B33">
      <w:pPr>
        <w:rPr>
          <w:szCs w:val="20"/>
        </w:rPr>
      </w:pPr>
      <w:r w:rsidRPr="001F43EB">
        <w:rPr>
          <w:szCs w:val="20"/>
        </w:rPr>
        <w:tab/>
        <w:t>(D)  number of contact hours of continuing education credit.</w:t>
      </w:r>
    </w:p>
    <w:p w14:paraId="2A618505" w14:textId="77777777" w:rsidR="00960B33" w:rsidRPr="001F43EB" w:rsidRDefault="00960B33" w:rsidP="00960B33">
      <w:pPr>
        <w:shd w:val="clear" w:color="auto" w:fill="FFFFFF"/>
        <w:rPr>
          <w:szCs w:val="20"/>
        </w:rPr>
      </w:pPr>
      <w:r w:rsidRPr="001F43EB">
        <w:rPr>
          <w:szCs w:val="20"/>
        </w:rPr>
        <w:tab/>
        <w:t>(4)  A course on the legal and ethical principles of practice shall meet the requirements of Subsection (3) and cover at least one of the following topics:</w:t>
      </w:r>
    </w:p>
    <w:p w14:paraId="7A38D659" w14:textId="77777777" w:rsidR="00960B33" w:rsidRPr="001F43EB" w:rsidRDefault="00960B33" w:rsidP="00960B33">
      <w:pPr>
        <w:shd w:val="clear" w:color="auto" w:fill="FFFFFF"/>
        <w:rPr>
          <w:szCs w:val="20"/>
        </w:rPr>
      </w:pPr>
      <w:r w:rsidRPr="001F43EB">
        <w:rPr>
          <w:szCs w:val="20"/>
        </w:rPr>
        <w:tab/>
        <w:t>(a)  the patient-occupational therapist relationship;</w:t>
      </w:r>
    </w:p>
    <w:p w14:paraId="718403BF" w14:textId="77777777" w:rsidR="00960B33" w:rsidRPr="001F43EB" w:rsidRDefault="00960B33" w:rsidP="00960B33">
      <w:pPr>
        <w:shd w:val="clear" w:color="auto" w:fill="FFFFFF"/>
        <w:rPr>
          <w:szCs w:val="20"/>
        </w:rPr>
      </w:pPr>
      <w:r w:rsidRPr="001F43EB">
        <w:rPr>
          <w:szCs w:val="20"/>
        </w:rPr>
        <w:tab/>
        <w:t>(b)  confidentiality;</w:t>
      </w:r>
    </w:p>
    <w:p w14:paraId="7090BA7C" w14:textId="77777777" w:rsidR="00960B33" w:rsidRPr="001F43EB" w:rsidRDefault="00960B33" w:rsidP="00960B33">
      <w:pPr>
        <w:shd w:val="clear" w:color="auto" w:fill="FFFFFF"/>
        <w:rPr>
          <w:szCs w:val="20"/>
        </w:rPr>
      </w:pPr>
      <w:r w:rsidRPr="001F43EB">
        <w:rPr>
          <w:szCs w:val="20"/>
        </w:rPr>
        <w:tab/>
        <w:t>(c)  documentation;</w:t>
      </w:r>
    </w:p>
    <w:p w14:paraId="7B4F09E0" w14:textId="77777777" w:rsidR="00960B33" w:rsidRPr="001F43EB" w:rsidRDefault="00960B33" w:rsidP="00960B33">
      <w:pPr>
        <w:shd w:val="clear" w:color="auto" w:fill="FFFFFF"/>
        <w:rPr>
          <w:szCs w:val="20"/>
        </w:rPr>
      </w:pPr>
      <w:r w:rsidRPr="001F43EB">
        <w:rPr>
          <w:szCs w:val="20"/>
        </w:rPr>
        <w:tab/>
        <w:t>(d)  charging and coding;</w:t>
      </w:r>
    </w:p>
    <w:p w14:paraId="223AC6B2" w14:textId="77777777" w:rsidR="00960B33" w:rsidRPr="001F43EB" w:rsidRDefault="00960B33" w:rsidP="00960B33">
      <w:pPr>
        <w:shd w:val="clear" w:color="auto" w:fill="FFFFFF"/>
        <w:rPr>
          <w:szCs w:val="20"/>
        </w:rPr>
      </w:pPr>
      <w:r w:rsidRPr="001F43EB">
        <w:rPr>
          <w:szCs w:val="20"/>
        </w:rPr>
        <w:tab/>
        <w:t>(e)  compliance with state or federal laws that impact the practice of occupational therapy; or</w:t>
      </w:r>
    </w:p>
    <w:p w14:paraId="43E558EE" w14:textId="77777777" w:rsidR="00960B33" w:rsidRPr="001F43EB" w:rsidRDefault="00960B33" w:rsidP="00960B33">
      <w:pPr>
        <w:shd w:val="clear" w:color="auto" w:fill="FFFFFF"/>
        <w:rPr>
          <w:szCs w:val="20"/>
        </w:rPr>
      </w:pPr>
      <w:r w:rsidRPr="001F43EB">
        <w:rPr>
          <w:szCs w:val="20"/>
        </w:rPr>
        <w:tab/>
        <w:t>(f)  a topic listed in the AOTA 2020 Occupational Therapy Code of Ethics.</w:t>
      </w:r>
    </w:p>
    <w:p w14:paraId="50917A20" w14:textId="77777777" w:rsidR="00960B33" w:rsidRPr="001F43EB" w:rsidRDefault="00960B33" w:rsidP="00960B33">
      <w:pPr>
        <w:shd w:val="clear" w:color="auto" w:fill="FFFFFF"/>
        <w:rPr>
          <w:szCs w:val="20"/>
        </w:rPr>
      </w:pPr>
      <w:r w:rsidRPr="001F43EB">
        <w:rPr>
          <w:szCs w:val="20"/>
        </w:rPr>
        <w:tab/>
        <w:t>(5)  Credit for qualified continuing professional education shall be recognized and awarded as follows:</w:t>
      </w:r>
    </w:p>
    <w:p w14:paraId="78070B64" w14:textId="77777777" w:rsidR="00960B33" w:rsidRPr="001F43EB" w:rsidRDefault="00960B33" w:rsidP="00960B33">
      <w:pPr>
        <w:shd w:val="clear" w:color="auto" w:fill="FFFFFF"/>
        <w:rPr>
          <w:szCs w:val="20"/>
        </w:rPr>
      </w:pPr>
      <w:r w:rsidRPr="001F43EB">
        <w:rPr>
          <w:szCs w:val="20"/>
        </w:rPr>
        <w:tab/>
        <w:t>(a)  a licensee who lectures or instructs a course on occupational therapy at an accredited university or college, a qualified continuing education course, or as an invited guest lecturer, may be awarded qualified continuing professional education credit subject to the following:</w:t>
      </w:r>
    </w:p>
    <w:p w14:paraId="414CFF80" w14:textId="77777777" w:rsidR="00960B33" w:rsidRPr="001F43EB" w:rsidRDefault="00960B33" w:rsidP="00960B33">
      <w:pPr>
        <w:shd w:val="clear" w:color="auto" w:fill="FFFFFF"/>
        <w:rPr>
          <w:szCs w:val="20"/>
        </w:rPr>
      </w:pPr>
      <w:r w:rsidRPr="001F43EB">
        <w:rPr>
          <w:szCs w:val="20"/>
        </w:rPr>
        <w:tab/>
        <w:t>(</w:t>
      </w:r>
      <w:proofErr w:type="spellStart"/>
      <w:r w:rsidRPr="001F43EB">
        <w:rPr>
          <w:szCs w:val="20"/>
        </w:rPr>
        <w:t>i</w:t>
      </w:r>
      <w:proofErr w:type="spellEnd"/>
      <w:r w:rsidRPr="001F43EB">
        <w:rPr>
          <w:szCs w:val="20"/>
        </w:rPr>
        <w:t>)  one hour of qualified continuing professional education credit awarded for each one hour of lecturing or instruction;</w:t>
      </w:r>
    </w:p>
    <w:p w14:paraId="41F2BB39" w14:textId="77777777" w:rsidR="00960B33" w:rsidRPr="001F43EB" w:rsidRDefault="00960B33" w:rsidP="00960B33">
      <w:pPr>
        <w:shd w:val="clear" w:color="auto" w:fill="FFFFFF"/>
        <w:rPr>
          <w:szCs w:val="20"/>
        </w:rPr>
      </w:pPr>
      <w:r w:rsidRPr="001F43EB">
        <w:rPr>
          <w:szCs w:val="20"/>
        </w:rPr>
        <w:tab/>
        <w:t>(ii)  up to ten hours of credit for an occupational therapist or an occupational therapist assistant;</w:t>
      </w:r>
    </w:p>
    <w:p w14:paraId="18055EDD" w14:textId="77777777" w:rsidR="00960B33" w:rsidRPr="001F43EB" w:rsidRDefault="00960B33" w:rsidP="00960B33">
      <w:pPr>
        <w:shd w:val="clear" w:color="auto" w:fill="FFFFFF"/>
        <w:rPr>
          <w:szCs w:val="20"/>
        </w:rPr>
      </w:pPr>
      <w:r w:rsidRPr="001F43EB">
        <w:rPr>
          <w:szCs w:val="20"/>
        </w:rPr>
        <w:tab/>
        <w:t>(iii)  credit for lecturing or instructing the same course may be given up to two times during each two-year renewal cycle; and</w:t>
      </w:r>
    </w:p>
    <w:p w14:paraId="21150001" w14:textId="77777777" w:rsidR="00960B33" w:rsidRPr="001F43EB" w:rsidRDefault="00960B33" w:rsidP="00960B33">
      <w:pPr>
        <w:shd w:val="clear" w:color="auto" w:fill="FFFFFF"/>
        <w:rPr>
          <w:szCs w:val="20"/>
        </w:rPr>
      </w:pPr>
      <w:r w:rsidRPr="001F43EB">
        <w:rPr>
          <w:szCs w:val="20"/>
        </w:rPr>
        <w:tab/>
        <w:t>(iv)  the licensee obtains a certificate or record from the qualified continuing professional education sponsor or equivalent that verifies the licensee lectured or instructed the course;</w:t>
      </w:r>
    </w:p>
    <w:p w14:paraId="3DADF749" w14:textId="77777777" w:rsidR="00960B33" w:rsidRPr="001F43EB" w:rsidRDefault="00960B33" w:rsidP="00960B33">
      <w:pPr>
        <w:shd w:val="clear" w:color="auto" w:fill="FFFFFF"/>
        <w:rPr>
          <w:szCs w:val="20"/>
        </w:rPr>
      </w:pPr>
      <w:r w:rsidRPr="001F43EB">
        <w:rPr>
          <w:szCs w:val="20"/>
        </w:rPr>
        <w:lastRenderedPageBreak/>
        <w:tab/>
        <w:t>(b)  a licensee participating in a fellowship, residency, or specialty certification may be awarded two qualified continuing professional education hours for each one hour of participation;</w:t>
      </w:r>
    </w:p>
    <w:p w14:paraId="55F48BF4" w14:textId="77777777" w:rsidR="00960B33" w:rsidRPr="001F43EB" w:rsidRDefault="00960B33" w:rsidP="00960B33">
      <w:pPr>
        <w:shd w:val="clear" w:color="auto" w:fill="FFFFFF"/>
        <w:rPr>
          <w:szCs w:val="20"/>
          <w:shd w:val="clear" w:color="auto" w:fill="FFFFFF"/>
        </w:rPr>
      </w:pPr>
      <w:r w:rsidRPr="001F43EB">
        <w:rPr>
          <w:szCs w:val="20"/>
        </w:rPr>
        <w:tab/>
      </w:r>
      <w:r w:rsidRPr="001F43EB">
        <w:rPr>
          <w:szCs w:val="20"/>
          <w:shd w:val="clear" w:color="auto" w:fill="FFFFFF"/>
        </w:rPr>
        <w:t>(c)  providing volunteer health care treatment in occupational therapy that meets the requirements of Subsection 58-13-3(8); or</w:t>
      </w:r>
    </w:p>
    <w:p w14:paraId="21A9E0B7" w14:textId="77777777" w:rsidR="00960B33" w:rsidRPr="001F43EB" w:rsidRDefault="00960B33" w:rsidP="00960B33">
      <w:pPr>
        <w:shd w:val="clear" w:color="auto" w:fill="FFFFFF"/>
        <w:rPr>
          <w:szCs w:val="20"/>
          <w:shd w:val="clear" w:color="auto" w:fill="FFFFFF"/>
        </w:rPr>
      </w:pPr>
      <w:r w:rsidRPr="001F43EB">
        <w:rPr>
          <w:szCs w:val="20"/>
        </w:rPr>
        <w:tab/>
      </w:r>
      <w:r w:rsidRPr="001F43EB">
        <w:rPr>
          <w:szCs w:val="20"/>
          <w:shd w:val="clear" w:color="auto" w:fill="FFFFFF"/>
        </w:rPr>
        <w:t xml:space="preserve">(d)  up to five hours of </w:t>
      </w:r>
      <w:r w:rsidRPr="001F43EB">
        <w:rPr>
          <w:szCs w:val="20"/>
        </w:rPr>
        <w:t>qualified continuing professional education for a clinical instructor who supervises at least one occupational therapist student or occupational therapy assistant student.</w:t>
      </w:r>
    </w:p>
    <w:p w14:paraId="0D1E947D" w14:textId="77777777" w:rsidR="00960B33" w:rsidRPr="001F43EB" w:rsidRDefault="00960B33" w:rsidP="00960B33">
      <w:pPr>
        <w:rPr>
          <w:szCs w:val="20"/>
        </w:rPr>
      </w:pPr>
      <w:r w:rsidRPr="001F43EB">
        <w:rPr>
          <w:szCs w:val="20"/>
        </w:rPr>
        <w:tab/>
        <w:t>(6)  Qualified continuing professional education hours shall be increased or decreased proportionately based on the applicant's date of licensure within the two-year renewal cycle.</w:t>
      </w:r>
    </w:p>
    <w:p w14:paraId="6F673B47" w14:textId="77777777" w:rsidR="00960B33" w:rsidRPr="001F43EB" w:rsidRDefault="00960B33" w:rsidP="00960B33">
      <w:pPr>
        <w:rPr>
          <w:szCs w:val="20"/>
        </w:rPr>
      </w:pPr>
      <w:r w:rsidRPr="001F43EB">
        <w:rPr>
          <w:szCs w:val="20"/>
        </w:rPr>
        <w:tab/>
        <w:t>(7)  A licensee shall maintain adequate documentation sufficient to prove compliance with this section for at least two years after the end of the renewal cycle for which the qualified continuing professional education is due.</w:t>
      </w:r>
    </w:p>
    <w:p w14:paraId="6659FAF1" w14:textId="77777777" w:rsidR="00960B33" w:rsidRPr="001F43EB" w:rsidRDefault="00960B33" w:rsidP="00960B33">
      <w:pPr>
        <w:rPr>
          <w:rFonts w:eastAsia="Calibri"/>
          <w:szCs w:val="20"/>
        </w:rPr>
      </w:pPr>
      <w:r w:rsidRPr="001F43EB">
        <w:rPr>
          <w:szCs w:val="20"/>
        </w:rPr>
        <w:tab/>
        <w:t xml:space="preserve">(8)  </w:t>
      </w:r>
      <w:r w:rsidRPr="001F43EB">
        <w:rPr>
          <w:szCs w:val="20"/>
          <w:shd w:val="clear" w:color="auto" w:fill="FFFFFF"/>
        </w:rPr>
        <w:t xml:space="preserve">Under Section R156-1-308d, the Division may defer or waive </w:t>
      </w:r>
      <w:r w:rsidRPr="001F43EB">
        <w:rPr>
          <w:szCs w:val="20"/>
        </w:rPr>
        <w:t>qualified continuing professional education</w:t>
      </w:r>
      <w:r w:rsidRPr="001F43EB">
        <w:rPr>
          <w:szCs w:val="20"/>
          <w:shd w:val="clear" w:color="auto" w:fill="FFFFFF"/>
        </w:rPr>
        <w:t xml:space="preserve"> requirements.</w:t>
      </w:r>
    </w:p>
    <w:p w14:paraId="24FCDBF9" w14:textId="77777777" w:rsidR="00960B33" w:rsidRPr="001F43EB" w:rsidRDefault="00960B33" w:rsidP="00960B33">
      <w:pPr>
        <w:rPr>
          <w:szCs w:val="20"/>
        </w:rPr>
      </w:pPr>
    </w:p>
    <w:p w14:paraId="138FB2EE" w14:textId="77777777" w:rsidR="00960B33" w:rsidRPr="001F43EB" w:rsidRDefault="00960B33" w:rsidP="00960B33">
      <w:pPr>
        <w:shd w:val="clear" w:color="auto" w:fill="FFFFFF"/>
        <w:rPr>
          <w:szCs w:val="20"/>
        </w:rPr>
      </w:pPr>
      <w:r w:rsidRPr="001F43EB">
        <w:rPr>
          <w:b/>
          <w:bCs/>
          <w:szCs w:val="20"/>
        </w:rPr>
        <w:t>R156-42a-307.  Trigger Point Dry Needling - Education and Experience Required - Registration.</w:t>
      </w:r>
    </w:p>
    <w:p w14:paraId="0AD01547" w14:textId="77777777" w:rsidR="00960B33" w:rsidRPr="001F43EB" w:rsidRDefault="00960B33" w:rsidP="00960B33">
      <w:pPr>
        <w:rPr>
          <w:rFonts w:eastAsia="Calibri"/>
          <w:szCs w:val="20"/>
        </w:rPr>
      </w:pPr>
      <w:r w:rsidRPr="001F43EB">
        <w:rPr>
          <w:szCs w:val="20"/>
        </w:rPr>
        <w:tab/>
      </w:r>
      <w:r w:rsidRPr="001F43EB">
        <w:rPr>
          <w:rFonts w:eastAsia="Calibri"/>
          <w:szCs w:val="20"/>
        </w:rPr>
        <w:t>(1)  Under Subsection 58-42b-307(1)(b)(</w:t>
      </w:r>
      <w:proofErr w:type="spellStart"/>
      <w:r w:rsidRPr="001F43EB">
        <w:rPr>
          <w:rFonts w:eastAsia="Calibri"/>
          <w:szCs w:val="20"/>
        </w:rPr>
        <w:t>i</w:t>
      </w:r>
      <w:proofErr w:type="spellEnd"/>
      <w:r w:rsidRPr="001F43EB">
        <w:rPr>
          <w:rFonts w:eastAsia="Calibri"/>
          <w:szCs w:val="20"/>
        </w:rPr>
        <w:t>), for a trigger point dry needling course to be approved by the Division, the course shall be</w:t>
      </w:r>
      <w:r w:rsidRPr="001F43EB">
        <w:rPr>
          <w:szCs w:val="20"/>
        </w:rPr>
        <w:t xml:space="preserve"> </w:t>
      </w:r>
      <w:r w:rsidRPr="001F43EB">
        <w:rPr>
          <w:rFonts w:eastAsia="Calibri"/>
          <w:szCs w:val="20"/>
        </w:rPr>
        <w:t>approved, conducted, or sponsored</w:t>
      </w:r>
      <w:r w:rsidRPr="001F43EB">
        <w:rPr>
          <w:szCs w:val="20"/>
        </w:rPr>
        <w:t xml:space="preserve"> by one of the following</w:t>
      </w:r>
      <w:r w:rsidRPr="001F43EB">
        <w:rPr>
          <w:rFonts w:eastAsia="Calibri"/>
          <w:szCs w:val="20"/>
        </w:rPr>
        <w:t>:</w:t>
      </w:r>
    </w:p>
    <w:p w14:paraId="6BCCFCD6" w14:textId="77777777" w:rsidR="00960B33" w:rsidRPr="001F43EB" w:rsidRDefault="00960B33" w:rsidP="00960B33">
      <w:pPr>
        <w:shd w:val="clear" w:color="auto" w:fill="FFFFFF"/>
        <w:autoSpaceDE/>
        <w:autoSpaceDN/>
        <w:adjustRightInd/>
        <w:rPr>
          <w:szCs w:val="20"/>
        </w:rPr>
      </w:pPr>
      <w:r w:rsidRPr="001F43EB">
        <w:rPr>
          <w:szCs w:val="20"/>
        </w:rPr>
        <w:tab/>
        <w:t>(a)  a recognized accredited college or university;</w:t>
      </w:r>
    </w:p>
    <w:p w14:paraId="320C98DA" w14:textId="77777777" w:rsidR="00960B33" w:rsidRPr="001F43EB" w:rsidRDefault="00960B33" w:rsidP="00960B33">
      <w:pPr>
        <w:shd w:val="clear" w:color="auto" w:fill="FFFFFF"/>
        <w:autoSpaceDE/>
        <w:autoSpaceDN/>
        <w:adjustRightInd/>
        <w:rPr>
          <w:szCs w:val="20"/>
        </w:rPr>
      </w:pPr>
      <w:r w:rsidRPr="001F43EB">
        <w:rPr>
          <w:szCs w:val="20"/>
        </w:rPr>
        <w:tab/>
        <w:t>(b)  a state or federal agency;</w:t>
      </w:r>
    </w:p>
    <w:p w14:paraId="2850A775" w14:textId="77777777" w:rsidR="00960B33" w:rsidRPr="001F43EB" w:rsidRDefault="00960B33" w:rsidP="00960B33">
      <w:pPr>
        <w:shd w:val="clear" w:color="auto" w:fill="FFFFFF"/>
        <w:autoSpaceDE/>
        <w:autoSpaceDN/>
        <w:adjustRightInd/>
        <w:rPr>
          <w:szCs w:val="20"/>
        </w:rPr>
      </w:pPr>
      <w:r w:rsidRPr="001F43EB">
        <w:rPr>
          <w:szCs w:val="20"/>
        </w:rPr>
        <w:tab/>
        <w:t>(c)  a professional association, organization, or facility involved in the practice of occupational therapy; or</w:t>
      </w:r>
    </w:p>
    <w:p w14:paraId="3934F930" w14:textId="77777777" w:rsidR="00960B33" w:rsidRPr="001F43EB" w:rsidRDefault="00960B33" w:rsidP="00960B33">
      <w:pPr>
        <w:shd w:val="clear" w:color="auto" w:fill="FFFFFF"/>
        <w:autoSpaceDE/>
        <w:autoSpaceDN/>
        <w:adjustRightInd/>
        <w:rPr>
          <w:szCs w:val="20"/>
        </w:rPr>
      </w:pPr>
      <w:r w:rsidRPr="001F43EB">
        <w:rPr>
          <w:szCs w:val="20"/>
        </w:rPr>
        <w:tab/>
        <w:t>(d)  the Board.</w:t>
      </w:r>
    </w:p>
    <w:p w14:paraId="40487D6E" w14:textId="77777777" w:rsidR="00960B33" w:rsidRPr="001F43EB" w:rsidRDefault="00960B33" w:rsidP="00960B33">
      <w:pPr>
        <w:rPr>
          <w:rFonts w:eastAsia="Calibri"/>
          <w:szCs w:val="20"/>
        </w:rPr>
      </w:pPr>
      <w:r w:rsidRPr="001F43EB">
        <w:rPr>
          <w:szCs w:val="20"/>
        </w:rPr>
        <w:tab/>
      </w:r>
      <w:r w:rsidRPr="001F43EB">
        <w:rPr>
          <w:rFonts w:eastAsia="Calibri"/>
          <w:szCs w:val="20"/>
        </w:rPr>
        <w:t>(2)  Under Subsections 58-42a-307(1)(e) and (2)(b), an occupational therapist shall complete an approved trigger point dry needling course and required supervised patient treatment hours under Subsection 58-42a-307(1)(b)(ii)(B) within three calendar years from the date the course started.</w:t>
      </w:r>
    </w:p>
    <w:p w14:paraId="3800BA61" w14:textId="77777777" w:rsidR="00960B33" w:rsidRPr="001F43EB" w:rsidRDefault="00960B33" w:rsidP="00960B33">
      <w:pPr>
        <w:rPr>
          <w:rFonts w:eastAsia="Calibri"/>
          <w:szCs w:val="20"/>
        </w:rPr>
      </w:pPr>
      <w:r w:rsidRPr="001F43EB">
        <w:rPr>
          <w:szCs w:val="20"/>
        </w:rPr>
        <w:tab/>
      </w:r>
      <w:r w:rsidRPr="001F43EB">
        <w:rPr>
          <w:rFonts w:eastAsia="Calibri"/>
          <w:szCs w:val="20"/>
        </w:rPr>
        <w:t>(3)  Under Subsections 58-42a-307(1)(c) and (e), an occupational therapist who completes the trigger point dry needling course shall register with the Division by submitting:</w:t>
      </w:r>
    </w:p>
    <w:p w14:paraId="0EFAF7C7" w14:textId="77777777" w:rsidR="00960B33" w:rsidRPr="001F43EB" w:rsidRDefault="00960B33" w:rsidP="00960B33">
      <w:pPr>
        <w:rPr>
          <w:rFonts w:eastAsia="Calibri"/>
          <w:szCs w:val="20"/>
        </w:rPr>
      </w:pPr>
      <w:r w:rsidRPr="001F43EB">
        <w:rPr>
          <w:szCs w:val="20"/>
        </w:rPr>
        <w:tab/>
      </w:r>
      <w:r w:rsidRPr="001F43EB">
        <w:rPr>
          <w:rFonts w:eastAsia="Calibri"/>
          <w:szCs w:val="20"/>
        </w:rPr>
        <w:t>(a)  a completion certificate for the course that is issued by the organization that approved, conducted, or sponsored the course under Subsection (1); and</w:t>
      </w:r>
    </w:p>
    <w:p w14:paraId="4D004D48" w14:textId="77777777" w:rsidR="00960B33" w:rsidRPr="001F43EB" w:rsidRDefault="00960B33" w:rsidP="00960B33">
      <w:pPr>
        <w:rPr>
          <w:rFonts w:eastAsia="Calibri"/>
          <w:szCs w:val="20"/>
        </w:rPr>
      </w:pPr>
      <w:r w:rsidRPr="001F43EB">
        <w:rPr>
          <w:szCs w:val="20"/>
        </w:rPr>
        <w:tab/>
      </w:r>
      <w:r w:rsidRPr="001F43EB">
        <w:rPr>
          <w:rFonts w:eastAsia="Calibri"/>
          <w:szCs w:val="20"/>
        </w:rPr>
        <w:t>(b)(</w:t>
      </w:r>
      <w:proofErr w:type="spellStart"/>
      <w:r w:rsidRPr="001F43EB">
        <w:rPr>
          <w:rFonts w:eastAsia="Calibri"/>
          <w:szCs w:val="20"/>
        </w:rPr>
        <w:t>i</w:t>
      </w:r>
      <w:proofErr w:type="spellEnd"/>
      <w:r w:rsidRPr="001F43EB">
        <w:rPr>
          <w:rFonts w:eastAsia="Calibri"/>
          <w:szCs w:val="20"/>
        </w:rPr>
        <w:t>)  a log verifying completion of the occupational therapist's supervised patient treatment hours under Subsection 58-42a-307(1)(b)(ii)(B); or</w:t>
      </w:r>
    </w:p>
    <w:p w14:paraId="1FA1A1A5" w14:textId="77777777" w:rsidR="00960B33" w:rsidRPr="001F43EB" w:rsidRDefault="00960B33" w:rsidP="00960B33">
      <w:pPr>
        <w:rPr>
          <w:rFonts w:eastAsia="Calibri"/>
          <w:szCs w:val="20"/>
        </w:rPr>
      </w:pPr>
      <w:r w:rsidRPr="001F43EB">
        <w:rPr>
          <w:szCs w:val="20"/>
        </w:rPr>
        <w:tab/>
      </w:r>
      <w:r w:rsidRPr="001F43EB">
        <w:rPr>
          <w:rFonts w:eastAsia="Calibri"/>
          <w:szCs w:val="20"/>
        </w:rPr>
        <w:t>(ii)  a letter from the supervising occupational therapist that:</w:t>
      </w:r>
    </w:p>
    <w:p w14:paraId="16C2EC4B" w14:textId="77777777" w:rsidR="00960B33" w:rsidRPr="001F43EB" w:rsidRDefault="00960B33" w:rsidP="00960B33">
      <w:pPr>
        <w:rPr>
          <w:rFonts w:eastAsia="Calibri"/>
          <w:szCs w:val="20"/>
        </w:rPr>
      </w:pPr>
      <w:r w:rsidRPr="001F43EB">
        <w:rPr>
          <w:szCs w:val="20"/>
        </w:rPr>
        <w:tab/>
      </w:r>
      <w:r w:rsidRPr="001F43EB">
        <w:rPr>
          <w:rFonts w:eastAsia="Calibri"/>
          <w:szCs w:val="20"/>
        </w:rPr>
        <w:t>(A)  states that the supervised occupational therapist completed the supervised patient treatment hours required under Subsection 58-42a-307(1)(b)(ii)(B);</w:t>
      </w:r>
    </w:p>
    <w:p w14:paraId="4EEFB94F" w14:textId="77777777" w:rsidR="00960B33" w:rsidRPr="001F43EB" w:rsidRDefault="00960B33" w:rsidP="00960B33">
      <w:pPr>
        <w:rPr>
          <w:rFonts w:eastAsia="Calibri"/>
          <w:szCs w:val="20"/>
        </w:rPr>
      </w:pPr>
      <w:r w:rsidRPr="001F43EB">
        <w:rPr>
          <w:szCs w:val="20"/>
        </w:rPr>
        <w:tab/>
      </w:r>
      <w:r w:rsidRPr="001F43EB">
        <w:rPr>
          <w:rFonts w:eastAsia="Calibri"/>
          <w:szCs w:val="20"/>
        </w:rPr>
        <w:t xml:space="preserve">(B)  is on the letterhead of the supervising occupational </w:t>
      </w:r>
      <w:proofErr w:type="spellStart"/>
      <w:r w:rsidRPr="001F43EB">
        <w:rPr>
          <w:rFonts w:eastAsia="Calibri"/>
          <w:szCs w:val="20"/>
        </w:rPr>
        <w:t>therapist's</w:t>
      </w:r>
      <w:proofErr w:type="spellEnd"/>
      <w:r w:rsidRPr="001F43EB">
        <w:rPr>
          <w:rFonts w:eastAsia="Calibri"/>
          <w:szCs w:val="20"/>
        </w:rPr>
        <w:t xml:space="preserve"> organization; and</w:t>
      </w:r>
    </w:p>
    <w:p w14:paraId="5DA4F127" w14:textId="77777777" w:rsidR="00960B33" w:rsidRPr="001F43EB" w:rsidRDefault="00960B33" w:rsidP="00960B33">
      <w:pPr>
        <w:rPr>
          <w:rFonts w:eastAsia="Calibri"/>
          <w:szCs w:val="20"/>
        </w:rPr>
      </w:pPr>
      <w:r w:rsidRPr="001F43EB">
        <w:rPr>
          <w:szCs w:val="20"/>
        </w:rPr>
        <w:tab/>
      </w:r>
      <w:r w:rsidRPr="001F43EB">
        <w:rPr>
          <w:rFonts w:eastAsia="Calibri"/>
          <w:szCs w:val="20"/>
        </w:rPr>
        <w:t>(C)  is signed by the supervising occupational therapist.</w:t>
      </w:r>
    </w:p>
    <w:p w14:paraId="1BC43CC3" w14:textId="77777777" w:rsidR="00960B33" w:rsidRPr="001F43EB" w:rsidRDefault="00960B33" w:rsidP="00960B33">
      <w:pPr>
        <w:rPr>
          <w:szCs w:val="20"/>
        </w:rPr>
      </w:pPr>
    </w:p>
    <w:p w14:paraId="525BC547" w14:textId="77777777" w:rsidR="00960B33" w:rsidRPr="001F43EB" w:rsidRDefault="00960B33" w:rsidP="00960B33">
      <w:pPr>
        <w:rPr>
          <w:szCs w:val="20"/>
        </w:rPr>
      </w:pPr>
      <w:r w:rsidRPr="001F43EB">
        <w:rPr>
          <w:b/>
          <w:bCs/>
          <w:szCs w:val="20"/>
        </w:rPr>
        <w:t>R156-42a-502.  Unprofessional Conduct.</w:t>
      </w:r>
    </w:p>
    <w:p w14:paraId="25AC16BA" w14:textId="24A918EF" w:rsidR="00960B33" w:rsidRPr="001F43EB" w:rsidRDefault="00960B33" w:rsidP="00960B33">
      <w:pPr>
        <w:rPr>
          <w:szCs w:val="20"/>
        </w:rPr>
      </w:pPr>
      <w:r w:rsidRPr="001F43EB">
        <w:rPr>
          <w:szCs w:val="20"/>
        </w:rPr>
        <w:tab/>
        <w:t>Under Section 58-42a-502, "unprofessional conduct" includes:</w:t>
      </w:r>
    </w:p>
    <w:p w14:paraId="55F0A08E" w14:textId="062E442C" w:rsidR="00960B33" w:rsidRPr="001F43EB" w:rsidRDefault="00960B33" w:rsidP="00960B33">
      <w:pPr>
        <w:rPr>
          <w:szCs w:val="20"/>
        </w:rPr>
      </w:pPr>
      <w:r w:rsidRPr="001F43EB">
        <w:rPr>
          <w:szCs w:val="20"/>
        </w:rPr>
        <w:tab/>
        <w:t>(1)  delegating occupational therapy services, care, or responsibilities that are not authorized to be delegated under Title 58, Chapter 42a, Occupational Therapy Practice Act, or this rule;</w:t>
      </w:r>
    </w:p>
    <w:p w14:paraId="0B4C5044" w14:textId="37F9FA11" w:rsidR="00960B33" w:rsidRPr="001F43EB" w:rsidRDefault="00960B33" w:rsidP="00960B33">
      <w:pPr>
        <w:rPr>
          <w:szCs w:val="20"/>
        </w:rPr>
      </w:pPr>
      <w:r w:rsidRPr="001F43EB">
        <w:rPr>
          <w:szCs w:val="20"/>
        </w:rPr>
        <w:tab/>
        <w:t>(2)  engaging in or attempting to engage in the use of physical agent modalities, wound care, or manual therapy:</w:t>
      </w:r>
    </w:p>
    <w:p w14:paraId="09AFEAAB" w14:textId="77777777" w:rsidR="00960B33" w:rsidRPr="001F43EB" w:rsidRDefault="00960B33" w:rsidP="00960B33">
      <w:pPr>
        <w:rPr>
          <w:szCs w:val="20"/>
        </w:rPr>
      </w:pPr>
      <w:r w:rsidRPr="001F43EB">
        <w:rPr>
          <w:szCs w:val="20"/>
        </w:rPr>
        <w:tab/>
        <w:t>(a)  outside the licensee's scope of practice; or</w:t>
      </w:r>
    </w:p>
    <w:p w14:paraId="3CCA4ACF" w14:textId="77777777" w:rsidR="00960B33" w:rsidRPr="001F43EB" w:rsidRDefault="00960B33" w:rsidP="00960B33">
      <w:pPr>
        <w:rPr>
          <w:szCs w:val="20"/>
        </w:rPr>
      </w:pPr>
      <w:r w:rsidRPr="001F43EB">
        <w:rPr>
          <w:szCs w:val="20"/>
        </w:rPr>
        <w:tab/>
        <w:t>(b)  if the licensee is not competent to engage in these services by education, training, or experience;</w:t>
      </w:r>
    </w:p>
    <w:p w14:paraId="37A4B2E1" w14:textId="3DF47665" w:rsidR="00960B33" w:rsidRPr="001F43EB" w:rsidRDefault="00960B33" w:rsidP="00960B33">
      <w:pPr>
        <w:rPr>
          <w:szCs w:val="20"/>
        </w:rPr>
      </w:pPr>
      <w:r w:rsidRPr="001F43EB">
        <w:rPr>
          <w:szCs w:val="20"/>
        </w:rPr>
        <w:tab/>
        <w:t>(3)  failing as a supervising occupational therapist to provide the appropriate level of supervision under Title 58, Chapter 42a, Occupational Therapy Practice Act, and this rule;</w:t>
      </w:r>
    </w:p>
    <w:p w14:paraId="446F26BF" w14:textId="02D94BFD" w:rsidR="00960B33" w:rsidRPr="001F43EB" w:rsidRDefault="00960B33" w:rsidP="00960B33">
      <w:pPr>
        <w:rPr>
          <w:szCs w:val="20"/>
        </w:rPr>
      </w:pPr>
      <w:r w:rsidRPr="001F43EB">
        <w:rPr>
          <w:szCs w:val="20"/>
        </w:rPr>
        <w:tab/>
        <w:t>(4)  failing as a supervising occupational therapist to cosign the discharge documentation for an occupational therapist assistant's client within 30 days under Subsections 58-42a-306(2) and R156-42a-601(1); or</w:t>
      </w:r>
    </w:p>
    <w:p w14:paraId="772E5263" w14:textId="3911175C" w:rsidR="00960B33" w:rsidRPr="001F43EB" w:rsidRDefault="00960B33" w:rsidP="00960B33">
      <w:pPr>
        <w:rPr>
          <w:szCs w:val="20"/>
        </w:rPr>
      </w:pPr>
      <w:r w:rsidRPr="001F43EB">
        <w:rPr>
          <w:szCs w:val="20"/>
        </w:rPr>
        <w:tab/>
        <w:t>(5)  violating a provision of the AOTA 2020 Occupational Therapy Code of Ethics as adopted by the AOTA's Representative Assembly on November 4, 2020, which is incorporated by reference.</w:t>
      </w:r>
    </w:p>
    <w:p w14:paraId="471B9A79" w14:textId="77777777" w:rsidR="00960B33" w:rsidRPr="001F43EB" w:rsidRDefault="00960B33" w:rsidP="00960B33">
      <w:pPr>
        <w:rPr>
          <w:szCs w:val="20"/>
        </w:rPr>
      </w:pPr>
    </w:p>
    <w:p w14:paraId="0901ED33" w14:textId="77777777" w:rsidR="00960B33" w:rsidRPr="001F43EB" w:rsidRDefault="00960B33" w:rsidP="00960B33">
      <w:pPr>
        <w:rPr>
          <w:szCs w:val="20"/>
        </w:rPr>
      </w:pPr>
      <w:r w:rsidRPr="001F43EB">
        <w:rPr>
          <w:b/>
          <w:bCs/>
          <w:szCs w:val="20"/>
        </w:rPr>
        <w:t>R156-42a-601.  Practice Standards.</w:t>
      </w:r>
    </w:p>
    <w:p w14:paraId="29F57DD1" w14:textId="6F523606" w:rsidR="00960B33" w:rsidRPr="001F43EB" w:rsidRDefault="00960B33" w:rsidP="00960B33">
      <w:pPr>
        <w:rPr>
          <w:szCs w:val="20"/>
        </w:rPr>
      </w:pPr>
      <w:r w:rsidRPr="001F43EB">
        <w:rPr>
          <w:szCs w:val="20"/>
        </w:rPr>
        <w:tab/>
        <w:t>(1)  An occupational therapist assistant may discharge a client from on-going service if:</w:t>
      </w:r>
    </w:p>
    <w:p w14:paraId="49E88EEC" w14:textId="77777777" w:rsidR="00960B33" w:rsidRPr="001F43EB" w:rsidRDefault="00960B33" w:rsidP="00960B33">
      <w:pPr>
        <w:rPr>
          <w:szCs w:val="20"/>
        </w:rPr>
      </w:pPr>
      <w:r w:rsidRPr="001F43EB">
        <w:rPr>
          <w:szCs w:val="20"/>
        </w:rPr>
        <w:tab/>
        <w:t>(a)  the occupational therapist assistant has consulted with the supervising occupational therapist;</w:t>
      </w:r>
    </w:p>
    <w:p w14:paraId="79BFBEF6" w14:textId="77777777" w:rsidR="00960B33" w:rsidRPr="001F43EB" w:rsidRDefault="00960B33" w:rsidP="00960B33">
      <w:pPr>
        <w:rPr>
          <w:szCs w:val="20"/>
        </w:rPr>
      </w:pPr>
      <w:r w:rsidRPr="001F43EB">
        <w:rPr>
          <w:szCs w:val="20"/>
        </w:rPr>
        <w:tab/>
        <w:t>(b)  there is no evaluation component associated with the client's discharge from service; and</w:t>
      </w:r>
    </w:p>
    <w:p w14:paraId="4C0DCB4B" w14:textId="77777777" w:rsidR="00960B33" w:rsidRPr="001F43EB" w:rsidRDefault="00960B33" w:rsidP="00960B33">
      <w:pPr>
        <w:rPr>
          <w:szCs w:val="20"/>
        </w:rPr>
      </w:pPr>
      <w:r w:rsidRPr="001F43EB">
        <w:rPr>
          <w:szCs w:val="20"/>
        </w:rPr>
        <w:tab/>
        <w:t>(c)  the supervising occupational therapist cosigns the documentation under Subsection 58-42a-306(2) within 30 days.</w:t>
      </w:r>
    </w:p>
    <w:p w14:paraId="6091DFCD" w14:textId="5F1C0F31" w:rsidR="00960B33" w:rsidRPr="001F43EB" w:rsidRDefault="00960B33" w:rsidP="00960B33">
      <w:pPr>
        <w:rPr>
          <w:szCs w:val="20"/>
        </w:rPr>
      </w:pPr>
      <w:r w:rsidRPr="001F43EB">
        <w:rPr>
          <w:szCs w:val="20"/>
        </w:rPr>
        <w:tab/>
        <w:t>(2)  Under Subsection 58-42a-102(6)(b)(vii)(L), an occupational therapist engaging in the care and management of interruptions in skin and tissue integrity shall complete formal specialized wound care training or certification that includes didactic and clinical components.</w:t>
      </w:r>
    </w:p>
    <w:p w14:paraId="5743A5A5" w14:textId="77777777" w:rsidR="00960B33" w:rsidRPr="001F43EB" w:rsidRDefault="00960B33" w:rsidP="00960B33">
      <w:pPr>
        <w:rPr>
          <w:szCs w:val="20"/>
        </w:rPr>
      </w:pPr>
    </w:p>
    <w:p w14:paraId="5936938A" w14:textId="77777777" w:rsidR="00960B33" w:rsidRPr="001F43EB" w:rsidRDefault="00960B33" w:rsidP="00960B33">
      <w:pPr>
        <w:rPr>
          <w:szCs w:val="20"/>
        </w:rPr>
      </w:pPr>
      <w:r w:rsidRPr="001F43EB">
        <w:rPr>
          <w:b/>
          <w:bCs/>
          <w:szCs w:val="20"/>
        </w:rPr>
        <w:t>KEY:  licensing, occupational therapy, occupational therapist, occupational therapist assistant</w:t>
      </w:r>
    </w:p>
    <w:p w14:paraId="1DC704DA" w14:textId="527FBDE4" w:rsidR="00960B33" w:rsidRPr="001F43EB" w:rsidRDefault="00960B33" w:rsidP="00960B33">
      <w:pPr>
        <w:rPr>
          <w:szCs w:val="20"/>
        </w:rPr>
      </w:pPr>
      <w:r w:rsidRPr="001F43EB">
        <w:rPr>
          <w:b/>
          <w:bCs/>
          <w:szCs w:val="20"/>
        </w:rPr>
        <w:t xml:space="preserve">Date of Last Change:  </w:t>
      </w:r>
      <w:r w:rsidR="00681C68" w:rsidRPr="001F43EB">
        <w:rPr>
          <w:b/>
          <w:bCs/>
          <w:szCs w:val="20"/>
        </w:rPr>
        <w:t xml:space="preserve">December 23, </w:t>
      </w:r>
      <w:r w:rsidRPr="001F43EB">
        <w:rPr>
          <w:b/>
          <w:bCs/>
          <w:szCs w:val="20"/>
        </w:rPr>
        <w:t>2025</w:t>
      </w:r>
    </w:p>
    <w:p w14:paraId="7711F25D" w14:textId="77777777" w:rsidR="00960B33" w:rsidRPr="001F43EB" w:rsidRDefault="00960B33" w:rsidP="00960B33">
      <w:pPr>
        <w:rPr>
          <w:szCs w:val="20"/>
        </w:rPr>
      </w:pPr>
      <w:r w:rsidRPr="001F43EB">
        <w:rPr>
          <w:b/>
          <w:bCs/>
          <w:szCs w:val="20"/>
        </w:rPr>
        <w:t>Notice of Continuation:  September 25, 2023</w:t>
      </w:r>
    </w:p>
    <w:p w14:paraId="068BCB75" w14:textId="77777777" w:rsidR="00960B33" w:rsidRPr="001F43EB" w:rsidRDefault="00960B33" w:rsidP="00960B33">
      <w:r w:rsidRPr="001F43EB">
        <w:rPr>
          <w:b/>
          <w:bCs/>
          <w:szCs w:val="20"/>
        </w:rPr>
        <w:t>Authorizing, and Implemented or Interpreted Law:  58-1-106(1)(a); 58-1-202(1)(a); 58-42a-101</w:t>
      </w:r>
    </w:p>
    <w:p w14:paraId="3C08E9BF" w14:textId="77777777" w:rsidR="00960B33" w:rsidRPr="001F43EB" w:rsidRDefault="00960B33" w:rsidP="00960B33">
      <w:pPr>
        <w:autoSpaceDE/>
        <w:autoSpaceDN/>
        <w:adjustRightInd/>
        <w:rPr>
          <w:rFonts w:eastAsia="Aptos"/>
        </w:rPr>
      </w:pPr>
    </w:p>
    <w:bookmarkEnd w:id="0"/>
    <w:p w14:paraId="137B35C5" w14:textId="757B4972" w:rsidR="004E16FD" w:rsidRPr="001F43EB" w:rsidRDefault="004E16FD" w:rsidP="00960B33">
      <w:pPr>
        <w:autoSpaceDE/>
        <w:autoSpaceDN/>
        <w:adjustRightInd/>
        <w:rPr>
          <w:rFonts w:eastAsia="Aptos"/>
        </w:rPr>
      </w:pPr>
    </w:p>
    <w:sectPr w:rsidR="004E16FD" w:rsidRPr="001F43EB" w:rsidSect="001F43EB">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87D33" w14:textId="77777777" w:rsidR="00747F3B" w:rsidRDefault="00747F3B">
      <w:pPr>
        <w:spacing w:line="20" w:lineRule="exact"/>
      </w:pPr>
    </w:p>
  </w:endnote>
  <w:endnote w:type="continuationSeparator" w:id="0">
    <w:p w14:paraId="16B3DF20" w14:textId="77777777" w:rsidR="00747F3B" w:rsidRDefault="00747F3B" w:rsidP="00EE063C">
      <w:r>
        <w:t xml:space="preserve"> </w:t>
      </w:r>
    </w:p>
  </w:endnote>
  <w:endnote w:type="continuationNotice" w:id="1">
    <w:p w14:paraId="0B3F58CF" w14:textId="77777777" w:rsidR="00747F3B" w:rsidRDefault="00747F3B" w:rsidP="00EE063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646C6" w14:textId="77777777" w:rsidR="00747F3B" w:rsidRDefault="00747F3B" w:rsidP="00EE063C">
      <w:r>
        <w:separator/>
      </w:r>
    </w:p>
  </w:footnote>
  <w:footnote w:type="continuationSeparator" w:id="0">
    <w:p w14:paraId="197DBB53" w14:textId="77777777" w:rsidR="00747F3B" w:rsidRDefault="00747F3B" w:rsidP="00EE0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abstractNum w:abstractNumId="1" w15:restartNumberingAfterBreak="0">
    <w:nsid w:val="04445433"/>
    <w:multiLevelType w:val="hybridMultilevel"/>
    <w:tmpl w:val="E044269A"/>
    <w:lvl w:ilvl="0" w:tplc="5B928166">
      <w:start w:val="1"/>
      <w:numFmt w:val="decimal"/>
      <w:lvlText w:val="%1."/>
      <w:lvlJc w:val="left"/>
      <w:pPr>
        <w:ind w:left="1020" w:hanging="360"/>
      </w:pPr>
    </w:lvl>
    <w:lvl w:ilvl="1" w:tplc="8500BE28">
      <w:start w:val="1"/>
      <w:numFmt w:val="decimal"/>
      <w:lvlText w:val="%2."/>
      <w:lvlJc w:val="left"/>
      <w:pPr>
        <w:ind w:left="1020" w:hanging="360"/>
      </w:pPr>
    </w:lvl>
    <w:lvl w:ilvl="2" w:tplc="A3CA14EE">
      <w:start w:val="1"/>
      <w:numFmt w:val="decimal"/>
      <w:lvlText w:val="%3."/>
      <w:lvlJc w:val="left"/>
      <w:pPr>
        <w:ind w:left="1020" w:hanging="360"/>
      </w:pPr>
    </w:lvl>
    <w:lvl w:ilvl="3" w:tplc="5E32212E">
      <w:start w:val="1"/>
      <w:numFmt w:val="decimal"/>
      <w:lvlText w:val="%4."/>
      <w:lvlJc w:val="left"/>
      <w:pPr>
        <w:ind w:left="1020" w:hanging="360"/>
      </w:pPr>
    </w:lvl>
    <w:lvl w:ilvl="4" w:tplc="32AC61F8">
      <w:start w:val="1"/>
      <w:numFmt w:val="decimal"/>
      <w:lvlText w:val="%5."/>
      <w:lvlJc w:val="left"/>
      <w:pPr>
        <w:ind w:left="1020" w:hanging="360"/>
      </w:pPr>
    </w:lvl>
    <w:lvl w:ilvl="5" w:tplc="EE2007B6">
      <w:start w:val="1"/>
      <w:numFmt w:val="decimal"/>
      <w:lvlText w:val="%6."/>
      <w:lvlJc w:val="left"/>
      <w:pPr>
        <w:ind w:left="1020" w:hanging="360"/>
      </w:pPr>
    </w:lvl>
    <w:lvl w:ilvl="6" w:tplc="1D58FA58">
      <w:start w:val="1"/>
      <w:numFmt w:val="decimal"/>
      <w:lvlText w:val="%7."/>
      <w:lvlJc w:val="left"/>
      <w:pPr>
        <w:ind w:left="1020" w:hanging="360"/>
      </w:pPr>
    </w:lvl>
    <w:lvl w:ilvl="7" w:tplc="9EE6786A">
      <w:start w:val="1"/>
      <w:numFmt w:val="decimal"/>
      <w:lvlText w:val="%8."/>
      <w:lvlJc w:val="left"/>
      <w:pPr>
        <w:ind w:left="1020" w:hanging="360"/>
      </w:pPr>
    </w:lvl>
    <w:lvl w:ilvl="8" w:tplc="DA801D88">
      <w:start w:val="1"/>
      <w:numFmt w:val="decimal"/>
      <w:lvlText w:val="%9."/>
      <w:lvlJc w:val="left"/>
      <w:pPr>
        <w:ind w:left="1020" w:hanging="360"/>
      </w:pPr>
    </w:lvl>
  </w:abstractNum>
  <w:abstractNum w:abstractNumId="2" w15:restartNumberingAfterBreak="0">
    <w:nsid w:val="06CB5245"/>
    <w:multiLevelType w:val="hybridMultilevel"/>
    <w:tmpl w:val="CAA49EB4"/>
    <w:lvl w:ilvl="0" w:tplc="CD3C2BD8">
      <w:start w:val="1"/>
      <w:numFmt w:val="decimal"/>
      <w:lvlText w:val="%1."/>
      <w:lvlJc w:val="left"/>
      <w:pPr>
        <w:ind w:left="1020" w:hanging="360"/>
      </w:pPr>
    </w:lvl>
    <w:lvl w:ilvl="1" w:tplc="82A0B7D2">
      <w:start w:val="1"/>
      <w:numFmt w:val="decimal"/>
      <w:lvlText w:val="%2."/>
      <w:lvlJc w:val="left"/>
      <w:pPr>
        <w:ind w:left="1020" w:hanging="360"/>
      </w:pPr>
    </w:lvl>
    <w:lvl w:ilvl="2" w:tplc="9E0CB754">
      <w:start w:val="1"/>
      <w:numFmt w:val="decimal"/>
      <w:lvlText w:val="%3."/>
      <w:lvlJc w:val="left"/>
      <w:pPr>
        <w:ind w:left="1020" w:hanging="360"/>
      </w:pPr>
    </w:lvl>
    <w:lvl w:ilvl="3" w:tplc="965E2D7C">
      <w:start w:val="1"/>
      <w:numFmt w:val="decimal"/>
      <w:lvlText w:val="%4."/>
      <w:lvlJc w:val="left"/>
      <w:pPr>
        <w:ind w:left="1020" w:hanging="360"/>
      </w:pPr>
    </w:lvl>
    <w:lvl w:ilvl="4" w:tplc="652E002A">
      <w:start w:val="1"/>
      <w:numFmt w:val="decimal"/>
      <w:lvlText w:val="%5."/>
      <w:lvlJc w:val="left"/>
      <w:pPr>
        <w:ind w:left="1020" w:hanging="360"/>
      </w:pPr>
    </w:lvl>
    <w:lvl w:ilvl="5" w:tplc="A7BAF8AE">
      <w:start w:val="1"/>
      <w:numFmt w:val="decimal"/>
      <w:lvlText w:val="%6."/>
      <w:lvlJc w:val="left"/>
      <w:pPr>
        <w:ind w:left="1020" w:hanging="360"/>
      </w:pPr>
    </w:lvl>
    <w:lvl w:ilvl="6" w:tplc="AD40ED1C">
      <w:start w:val="1"/>
      <w:numFmt w:val="decimal"/>
      <w:lvlText w:val="%7."/>
      <w:lvlJc w:val="left"/>
      <w:pPr>
        <w:ind w:left="1020" w:hanging="360"/>
      </w:pPr>
    </w:lvl>
    <w:lvl w:ilvl="7" w:tplc="E898B47A">
      <w:start w:val="1"/>
      <w:numFmt w:val="decimal"/>
      <w:lvlText w:val="%8."/>
      <w:lvlJc w:val="left"/>
      <w:pPr>
        <w:ind w:left="1020" w:hanging="360"/>
      </w:pPr>
    </w:lvl>
    <w:lvl w:ilvl="8" w:tplc="2B4A134E">
      <w:start w:val="1"/>
      <w:numFmt w:val="decimal"/>
      <w:lvlText w:val="%9."/>
      <w:lvlJc w:val="left"/>
      <w:pPr>
        <w:ind w:left="1020" w:hanging="360"/>
      </w:pPr>
    </w:lvl>
  </w:abstractNum>
  <w:abstractNum w:abstractNumId="3" w15:restartNumberingAfterBreak="0">
    <w:nsid w:val="08A669BF"/>
    <w:multiLevelType w:val="hybridMultilevel"/>
    <w:tmpl w:val="423668B4"/>
    <w:lvl w:ilvl="0" w:tplc="5A583D6C">
      <w:start w:val="1"/>
      <w:numFmt w:val="decimal"/>
      <w:lvlText w:val="%1."/>
      <w:lvlJc w:val="left"/>
      <w:pPr>
        <w:ind w:left="1020" w:hanging="360"/>
      </w:pPr>
    </w:lvl>
    <w:lvl w:ilvl="1" w:tplc="BE929398">
      <w:start w:val="1"/>
      <w:numFmt w:val="decimal"/>
      <w:lvlText w:val="%2."/>
      <w:lvlJc w:val="left"/>
      <w:pPr>
        <w:ind w:left="1020" w:hanging="360"/>
      </w:pPr>
    </w:lvl>
    <w:lvl w:ilvl="2" w:tplc="C65C6986">
      <w:start w:val="1"/>
      <w:numFmt w:val="decimal"/>
      <w:lvlText w:val="%3."/>
      <w:lvlJc w:val="left"/>
      <w:pPr>
        <w:ind w:left="1020" w:hanging="360"/>
      </w:pPr>
    </w:lvl>
    <w:lvl w:ilvl="3" w:tplc="A430435C">
      <w:start w:val="1"/>
      <w:numFmt w:val="decimal"/>
      <w:lvlText w:val="%4."/>
      <w:lvlJc w:val="left"/>
      <w:pPr>
        <w:ind w:left="1020" w:hanging="360"/>
      </w:pPr>
    </w:lvl>
    <w:lvl w:ilvl="4" w:tplc="AE684018">
      <w:start w:val="1"/>
      <w:numFmt w:val="decimal"/>
      <w:lvlText w:val="%5."/>
      <w:lvlJc w:val="left"/>
      <w:pPr>
        <w:ind w:left="1020" w:hanging="360"/>
      </w:pPr>
    </w:lvl>
    <w:lvl w:ilvl="5" w:tplc="2AFA3256">
      <w:start w:val="1"/>
      <w:numFmt w:val="decimal"/>
      <w:lvlText w:val="%6."/>
      <w:lvlJc w:val="left"/>
      <w:pPr>
        <w:ind w:left="1020" w:hanging="360"/>
      </w:pPr>
    </w:lvl>
    <w:lvl w:ilvl="6" w:tplc="55502EA2">
      <w:start w:val="1"/>
      <w:numFmt w:val="decimal"/>
      <w:lvlText w:val="%7."/>
      <w:lvlJc w:val="left"/>
      <w:pPr>
        <w:ind w:left="1020" w:hanging="360"/>
      </w:pPr>
    </w:lvl>
    <w:lvl w:ilvl="7" w:tplc="613A42D6">
      <w:start w:val="1"/>
      <w:numFmt w:val="decimal"/>
      <w:lvlText w:val="%8."/>
      <w:lvlJc w:val="left"/>
      <w:pPr>
        <w:ind w:left="1020" w:hanging="360"/>
      </w:pPr>
    </w:lvl>
    <w:lvl w:ilvl="8" w:tplc="8CDAEEB0">
      <w:start w:val="1"/>
      <w:numFmt w:val="decimal"/>
      <w:lvlText w:val="%9."/>
      <w:lvlJc w:val="left"/>
      <w:pPr>
        <w:ind w:left="1020" w:hanging="360"/>
      </w:pPr>
    </w:lvl>
  </w:abstractNum>
  <w:abstractNum w:abstractNumId="4" w15:restartNumberingAfterBreak="0">
    <w:nsid w:val="0F8C236B"/>
    <w:multiLevelType w:val="hybridMultilevel"/>
    <w:tmpl w:val="D8AA88B2"/>
    <w:lvl w:ilvl="0" w:tplc="B77CA232">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B43BFE"/>
    <w:multiLevelType w:val="hybridMultilevel"/>
    <w:tmpl w:val="9E76C590"/>
    <w:lvl w:ilvl="0" w:tplc="CC86A9E4">
      <w:start w:val="1"/>
      <w:numFmt w:val="decimal"/>
      <w:lvlText w:val="%1."/>
      <w:lvlJc w:val="left"/>
      <w:pPr>
        <w:ind w:left="1020" w:hanging="360"/>
      </w:pPr>
    </w:lvl>
    <w:lvl w:ilvl="1" w:tplc="30CA27A4">
      <w:start w:val="1"/>
      <w:numFmt w:val="decimal"/>
      <w:lvlText w:val="%2."/>
      <w:lvlJc w:val="left"/>
      <w:pPr>
        <w:ind w:left="1020" w:hanging="360"/>
      </w:pPr>
    </w:lvl>
    <w:lvl w:ilvl="2" w:tplc="48BA9870">
      <w:start w:val="1"/>
      <w:numFmt w:val="decimal"/>
      <w:lvlText w:val="%3."/>
      <w:lvlJc w:val="left"/>
      <w:pPr>
        <w:ind w:left="1020" w:hanging="360"/>
      </w:pPr>
    </w:lvl>
    <w:lvl w:ilvl="3" w:tplc="885EDD9A">
      <w:start w:val="1"/>
      <w:numFmt w:val="decimal"/>
      <w:lvlText w:val="%4."/>
      <w:lvlJc w:val="left"/>
      <w:pPr>
        <w:ind w:left="1020" w:hanging="360"/>
      </w:pPr>
    </w:lvl>
    <w:lvl w:ilvl="4" w:tplc="F9CCC22A">
      <w:start w:val="1"/>
      <w:numFmt w:val="decimal"/>
      <w:lvlText w:val="%5."/>
      <w:lvlJc w:val="left"/>
      <w:pPr>
        <w:ind w:left="1020" w:hanging="360"/>
      </w:pPr>
    </w:lvl>
    <w:lvl w:ilvl="5" w:tplc="74B6D1B2">
      <w:start w:val="1"/>
      <w:numFmt w:val="decimal"/>
      <w:lvlText w:val="%6."/>
      <w:lvlJc w:val="left"/>
      <w:pPr>
        <w:ind w:left="1020" w:hanging="360"/>
      </w:pPr>
    </w:lvl>
    <w:lvl w:ilvl="6" w:tplc="12186D56">
      <w:start w:val="1"/>
      <w:numFmt w:val="decimal"/>
      <w:lvlText w:val="%7."/>
      <w:lvlJc w:val="left"/>
      <w:pPr>
        <w:ind w:left="1020" w:hanging="360"/>
      </w:pPr>
    </w:lvl>
    <w:lvl w:ilvl="7" w:tplc="D4F2CA66">
      <w:start w:val="1"/>
      <w:numFmt w:val="decimal"/>
      <w:lvlText w:val="%8."/>
      <w:lvlJc w:val="left"/>
      <w:pPr>
        <w:ind w:left="1020" w:hanging="360"/>
      </w:pPr>
    </w:lvl>
    <w:lvl w:ilvl="8" w:tplc="3E14FBE6">
      <w:start w:val="1"/>
      <w:numFmt w:val="decimal"/>
      <w:lvlText w:val="%9."/>
      <w:lvlJc w:val="left"/>
      <w:pPr>
        <w:ind w:left="1020" w:hanging="360"/>
      </w:pPr>
    </w:lvl>
  </w:abstractNum>
  <w:abstractNum w:abstractNumId="6" w15:restartNumberingAfterBreak="0">
    <w:nsid w:val="21BE2C49"/>
    <w:multiLevelType w:val="hybridMultilevel"/>
    <w:tmpl w:val="49E07D0C"/>
    <w:lvl w:ilvl="0" w:tplc="CA62AE78">
      <w:start w:val="1"/>
      <w:numFmt w:val="decimal"/>
      <w:lvlText w:val="%1."/>
      <w:lvlJc w:val="left"/>
      <w:pPr>
        <w:ind w:left="1020" w:hanging="360"/>
      </w:pPr>
    </w:lvl>
    <w:lvl w:ilvl="1" w:tplc="B12ECECA">
      <w:start w:val="1"/>
      <w:numFmt w:val="decimal"/>
      <w:lvlText w:val="%2."/>
      <w:lvlJc w:val="left"/>
      <w:pPr>
        <w:ind w:left="1020" w:hanging="360"/>
      </w:pPr>
    </w:lvl>
    <w:lvl w:ilvl="2" w:tplc="917EFADA">
      <w:start w:val="1"/>
      <w:numFmt w:val="decimal"/>
      <w:lvlText w:val="%3."/>
      <w:lvlJc w:val="left"/>
      <w:pPr>
        <w:ind w:left="1020" w:hanging="360"/>
      </w:pPr>
    </w:lvl>
    <w:lvl w:ilvl="3" w:tplc="187A87BE">
      <w:start w:val="1"/>
      <w:numFmt w:val="decimal"/>
      <w:lvlText w:val="%4."/>
      <w:lvlJc w:val="left"/>
      <w:pPr>
        <w:ind w:left="1020" w:hanging="360"/>
      </w:pPr>
    </w:lvl>
    <w:lvl w:ilvl="4" w:tplc="13C27952">
      <w:start w:val="1"/>
      <w:numFmt w:val="decimal"/>
      <w:lvlText w:val="%5."/>
      <w:lvlJc w:val="left"/>
      <w:pPr>
        <w:ind w:left="1020" w:hanging="360"/>
      </w:pPr>
    </w:lvl>
    <w:lvl w:ilvl="5" w:tplc="9A122F8A">
      <w:start w:val="1"/>
      <w:numFmt w:val="decimal"/>
      <w:lvlText w:val="%6."/>
      <w:lvlJc w:val="left"/>
      <w:pPr>
        <w:ind w:left="1020" w:hanging="360"/>
      </w:pPr>
    </w:lvl>
    <w:lvl w:ilvl="6" w:tplc="0F80F844">
      <w:start w:val="1"/>
      <w:numFmt w:val="decimal"/>
      <w:lvlText w:val="%7."/>
      <w:lvlJc w:val="left"/>
      <w:pPr>
        <w:ind w:left="1020" w:hanging="360"/>
      </w:pPr>
    </w:lvl>
    <w:lvl w:ilvl="7" w:tplc="E36AFFD8">
      <w:start w:val="1"/>
      <w:numFmt w:val="decimal"/>
      <w:lvlText w:val="%8."/>
      <w:lvlJc w:val="left"/>
      <w:pPr>
        <w:ind w:left="1020" w:hanging="360"/>
      </w:pPr>
    </w:lvl>
    <w:lvl w:ilvl="8" w:tplc="C52EE78E">
      <w:start w:val="1"/>
      <w:numFmt w:val="decimal"/>
      <w:lvlText w:val="%9."/>
      <w:lvlJc w:val="left"/>
      <w:pPr>
        <w:ind w:left="1020" w:hanging="360"/>
      </w:pPr>
    </w:lvl>
  </w:abstractNum>
  <w:abstractNum w:abstractNumId="7" w15:restartNumberingAfterBreak="0">
    <w:nsid w:val="30F31266"/>
    <w:multiLevelType w:val="hybridMultilevel"/>
    <w:tmpl w:val="0AD87FF4"/>
    <w:lvl w:ilvl="0" w:tplc="52EA5BBE">
      <w:start w:val="1"/>
      <w:numFmt w:val="decimal"/>
      <w:lvlText w:val="%1."/>
      <w:lvlJc w:val="left"/>
      <w:pPr>
        <w:ind w:left="1020" w:hanging="360"/>
      </w:pPr>
    </w:lvl>
    <w:lvl w:ilvl="1" w:tplc="1AF22C92">
      <w:start w:val="1"/>
      <w:numFmt w:val="decimal"/>
      <w:lvlText w:val="%2."/>
      <w:lvlJc w:val="left"/>
      <w:pPr>
        <w:ind w:left="1020" w:hanging="360"/>
      </w:pPr>
    </w:lvl>
    <w:lvl w:ilvl="2" w:tplc="5EBA630A">
      <w:start w:val="1"/>
      <w:numFmt w:val="decimal"/>
      <w:lvlText w:val="%3."/>
      <w:lvlJc w:val="left"/>
      <w:pPr>
        <w:ind w:left="1020" w:hanging="360"/>
      </w:pPr>
    </w:lvl>
    <w:lvl w:ilvl="3" w:tplc="EDC069FE">
      <w:start w:val="1"/>
      <w:numFmt w:val="decimal"/>
      <w:lvlText w:val="%4."/>
      <w:lvlJc w:val="left"/>
      <w:pPr>
        <w:ind w:left="1020" w:hanging="360"/>
      </w:pPr>
    </w:lvl>
    <w:lvl w:ilvl="4" w:tplc="ABC66244">
      <w:start w:val="1"/>
      <w:numFmt w:val="decimal"/>
      <w:lvlText w:val="%5."/>
      <w:lvlJc w:val="left"/>
      <w:pPr>
        <w:ind w:left="1020" w:hanging="360"/>
      </w:pPr>
    </w:lvl>
    <w:lvl w:ilvl="5" w:tplc="2AB275E8">
      <w:start w:val="1"/>
      <w:numFmt w:val="decimal"/>
      <w:lvlText w:val="%6."/>
      <w:lvlJc w:val="left"/>
      <w:pPr>
        <w:ind w:left="1020" w:hanging="360"/>
      </w:pPr>
    </w:lvl>
    <w:lvl w:ilvl="6" w:tplc="DB526686">
      <w:start w:val="1"/>
      <w:numFmt w:val="decimal"/>
      <w:lvlText w:val="%7."/>
      <w:lvlJc w:val="left"/>
      <w:pPr>
        <w:ind w:left="1020" w:hanging="360"/>
      </w:pPr>
    </w:lvl>
    <w:lvl w:ilvl="7" w:tplc="78EC7A8A">
      <w:start w:val="1"/>
      <w:numFmt w:val="decimal"/>
      <w:lvlText w:val="%8."/>
      <w:lvlJc w:val="left"/>
      <w:pPr>
        <w:ind w:left="1020" w:hanging="360"/>
      </w:pPr>
    </w:lvl>
    <w:lvl w:ilvl="8" w:tplc="6414D85C">
      <w:start w:val="1"/>
      <w:numFmt w:val="decimal"/>
      <w:lvlText w:val="%9."/>
      <w:lvlJc w:val="left"/>
      <w:pPr>
        <w:ind w:left="1020" w:hanging="360"/>
      </w:pPr>
    </w:lvl>
  </w:abstractNum>
  <w:abstractNum w:abstractNumId="8" w15:restartNumberingAfterBreak="0">
    <w:nsid w:val="406071D3"/>
    <w:multiLevelType w:val="hybridMultilevel"/>
    <w:tmpl w:val="02FA7B94"/>
    <w:lvl w:ilvl="0" w:tplc="44583DFE">
      <w:start w:val="1"/>
      <w:numFmt w:val="decimal"/>
      <w:lvlText w:val="%1."/>
      <w:lvlJc w:val="left"/>
      <w:pPr>
        <w:ind w:left="1020" w:hanging="360"/>
      </w:pPr>
    </w:lvl>
    <w:lvl w:ilvl="1" w:tplc="8242AF1A">
      <w:start w:val="1"/>
      <w:numFmt w:val="decimal"/>
      <w:lvlText w:val="%2."/>
      <w:lvlJc w:val="left"/>
      <w:pPr>
        <w:ind w:left="1020" w:hanging="360"/>
      </w:pPr>
    </w:lvl>
    <w:lvl w:ilvl="2" w:tplc="01C05C48">
      <w:start w:val="1"/>
      <w:numFmt w:val="decimal"/>
      <w:lvlText w:val="%3."/>
      <w:lvlJc w:val="left"/>
      <w:pPr>
        <w:ind w:left="1020" w:hanging="360"/>
      </w:pPr>
    </w:lvl>
    <w:lvl w:ilvl="3" w:tplc="A0D81B98">
      <w:start w:val="1"/>
      <w:numFmt w:val="decimal"/>
      <w:lvlText w:val="%4."/>
      <w:lvlJc w:val="left"/>
      <w:pPr>
        <w:ind w:left="1020" w:hanging="360"/>
      </w:pPr>
    </w:lvl>
    <w:lvl w:ilvl="4" w:tplc="EC344D6C">
      <w:start w:val="1"/>
      <w:numFmt w:val="decimal"/>
      <w:lvlText w:val="%5."/>
      <w:lvlJc w:val="left"/>
      <w:pPr>
        <w:ind w:left="1020" w:hanging="360"/>
      </w:pPr>
    </w:lvl>
    <w:lvl w:ilvl="5" w:tplc="942E3910">
      <w:start w:val="1"/>
      <w:numFmt w:val="decimal"/>
      <w:lvlText w:val="%6."/>
      <w:lvlJc w:val="left"/>
      <w:pPr>
        <w:ind w:left="1020" w:hanging="360"/>
      </w:pPr>
    </w:lvl>
    <w:lvl w:ilvl="6" w:tplc="8C342658">
      <w:start w:val="1"/>
      <w:numFmt w:val="decimal"/>
      <w:lvlText w:val="%7."/>
      <w:lvlJc w:val="left"/>
      <w:pPr>
        <w:ind w:left="1020" w:hanging="360"/>
      </w:pPr>
    </w:lvl>
    <w:lvl w:ilvl="7" w:tplc="77E875F6">
      <w:start w:val="1"/>
      <w:numFmt w:val="decimal"/>
      <w:lvlText w:val="%8."/>
      <w:lvlJc w:val="left"/>
      <w:pPr>
        <w:ind w:left="1020" w:hanging="360"/>
      </w:pPr>
    </w:lvl>
    <w:lvl w:ilvl="8" w:tplc="C1F0B4BE">
      <w:start w:val="1"/>
      <w:numFmt w:val="decimal"/>
      <w:lvlText w:val="%9."/>
      <w:lvlJc w:val="left"/>
      <w:pPr>
        <w:ind w:left="1020" w:hanging="360"/>
      </w:pPr>
    </w:lvl>
  </w:abstractNum>
  <w:abstractNum w:abstractNumId="9" w15:restartNumberingAfterBreak="0">
    <w:nsid w:val="425F6880"/>
    <w:multiLevelType w:val="hybridMultilevel"/>
    <w:tmpl w:val="7BA04E9C"/>
    <w:lvl w:ilvl="0" w:tplc="2E50FC34">
      <w:start w:val="1"/>
      <w:numFmt w:val="decimal"/>
      <w:lvlText w:val="%1."/>
      <w:lvlJc w:val="left"/>
      <w:pPr>
        <w:ind w:left="1020" w:hanging="360"/>
      </w:pPr>
    </w:lvl>
    <w:lvl w:ilvl="1" w:tplc="04A8DA9C">
      <w:start w:val="1"/>
      <w:numFmt w:val="decimal"/>
      <w:lvlText w:val="%2."/>
      <w:lvlJc w:val="left"/>
      <w:pPr>
        <w:ind w:left="1020" w:hanging="360"/>
      </w:pPr>
    </w:lvl>
    <w:lvl w:ilvl="2" w:tplc="12C6AF8E">
      <w:start w:val="1"/>
      <w:numFmt w:val="decimal"/>
      <w:lvlText w:val="%3."/>
      <w:lvlJc w:val="left"/>
      <w:pPr>
        <w:ind w:left="1020" w:hanging="360"/>
      </w:pPr>
    </w:lvl>
    <w:lvl w:ilvl="3" w:tplc="6B506274">
      <w:start w:val="1"/>
      <w:numFmt w:val="decimal"/>
      <w:lvlText w:val="%4."/>
      <w:lvlJc w:val="left"/>
      <w:pPr>
        <w:ind w:left="1020" w:hanging="360"/>
      </w:pPr>
    </w:lvl>
    <w:lvl w:ilvl="4" w:tplc="89642558">
      <w:start w:val="1"/>
      <w:numFmt w:val="decimal"/>
      <w:lvlText w:val="%5."/>
      <w:lvlJc w:val="left"/>
      <w:pPr>
        <w:ind w:left="1020" w:hanging="360"/>
      </w:pPr>
    </w:lvl>
    <w:lvl w:ilvl="5" w:tplc="0EDC6544">
      <w:start w:val="1"/>
      <w:numFmt w:val="decimal"/>
      <w:lvlText w:val="%6."/>
      <w:lvlJc w:val="left"/>
      <w:pPr>
        <w:ind w:left="1020" w:hanging="360"/>
      </w:pPr>
    </w:lvl>
    <w:lvl w:ilvl="6" w:tplc="5D6C4FD6">
      <w:start w:val="1"/>
      <w:numFmt w:val="decimal"/>
      <w:lvlText w:val="%7."/>
      <w:lvlJc w:val="left"/>
      <w:pPr>
        <w:ind w:left="1020" w:hanging="360"/>
      </w:pPr>
    </w:lvl>
    <w:lvl w:ilvl="7" w:tplc="2BF00144">
      <w:start w:val="1"/>
      <w:numFmt w:val="decimal"/>
      <w:lvlText w:val="%8."/>
      <w:lvlJc w:val="left"/>
      <w:pPr>
        <w:ind w:left="1020" w:hanging="360"/>
      </w:pPr>
    </w:lvl>
    <w:lvl w:ilvl="8" w:tplc="CEA8A41A">
      <w:start w:val="1"/>
      <w:numFmt w:val="decimal"/>
      <w:lvlText w:val="%9."/>
      <w:lvlJc w:val="left"/>
      <w:pPr>
        <w:ind w:left="1020" w:hanging="360"/>
      </w:pPr>
    </w:lvl>
  </w:abstractNum>
  <w:abstractNum w:abstractNumId="10" w15:restartNumberingAfterBreak="0">
    <w:nsid w:val="55903FA5"/>
    <w:multiLevelType w:val="hybridMultilevel"/>
    <w:tmpl w:val="DF8A6646"/>
    <w:lvl w:ilvl="0" w:tplc="0608B6A2">
      <w:start w:val="1"/>
      <w:numFmt w:val="decimal"/>
      <w:lvlText w:val="%1)"/>
      <w:lvlJc w:val="left"/>
      <w:pPr>
        <w:ind w:left="1020" w:hanging="360"/>
      </w:pPr>
    </w:lvl>
    <w:lvl w:ilvl="1" w:tplc="1792B3C4">
      <w:start w:val="1"/>
      <w:numFmt w:val="decimal"/>
      <w:lvlText w:val="%2)"/>
      <w:lvlJc w:val="left"/>
      <w:pPr>
        <w:ind w:left="1020" w:hanging="360"/>
      </w:pPr>
    </w:lvl>
    <w:lvl w:ilvl="2" w:tplc="DF704DE2">
      <w:start w:val="1"/>
      <w:numFmt w:val="decimal"/>
      <w:lvlText w:val="%3)"/>
      <w:lvlJc w:val="left"/>
      <w:pPr>
        <w:ind w:left="1020" w:hanging="360"/>
      </w:pPr>
    </w:lvl>
    <w:lvl w:ilvl="3" w:tplc="70CCD29A">
      <w:start w:val="1"/>
      <w:numFmt w:val="decimal"/>
      <w:lvlText w:val="%4)"/>
      <w:lvlJc w:val="left"/>
      <w:pPr>
        <w:ind w:left="1020" w:hanging="360"/>
      </w:pPr>
    </w:lvl>
    <w:lvl w:ilvl="4" w:tplc="E7C03A66">
      <w:start w:val="1"/>
      <w:numFmt w:val="decimal"/>
      <w:lvlText w:val="%5)"/>
      <w:lvlJc w:val="left"/>
      <w:pPr>
        <w:ind w:left="1020" w:hanging="360"/>
      </w:pPr>
    </w:lvl>
    <w:lvl w:ilvl="5" w:tplc="C484A814">
      <w:start w:val="1"/>
      <w:numFmt w:val="decimal"/>
      <w:lvlText w:val="%6)"/>
      <w:lvlJc w:val="left"/>
      <w:pPr>
        <w:ind w:left="1020" w:hanging="360"/>
      </w:pPr>
    </w:lvl>
    <w:lvl w:ilvl="6" w:tplc="9E606DC6">
      <w:start w:val="1"/>
      <w:numFmt w:val="decimal"/>
      <w:lvlText w:val="%7)"/>
      <w:lvlJc w:val="left"/>
      <w:pPr>
        <w:ind w:left="1020" w:hanging="360"/>
      </w:pPr>
    </w:lvl>
    <w:lvl w:ilvl="7" w:tplc="D60E5048">
      <w:start w:val="1"/>
      <w:numFmt w:val="decimal"/>
      <w:lvlText w:val="%8)"/>
      <w:lvlJc w:val="left"/>
      <w:pPr>
        <w:ind w:left="1020" w:hanging="360"/>
      </w:pPr>
    </w:lvl>
    <w:lvl w:ilvl="8" w:tplc="5F6E8A2E">
      <w:start w:val="1"/>
      <w:numFmt w:val="decimal"/>
      <w:lvlText w:val="%9)"/>
      <w:lvlJc w:val="left"/>
      <w:pPr>
        <w:ind w:left="1020" w:hanging="360"/>
      </w:pPr>
    </w:lvl>
  </w:abstractNum>
  <w:abstractNum w:abstractNumId="11" w15:restartNumberingAfterBreak="0">
    <w:nsid w:val="5E7036DB"/>
    <w:multiLevelType w:val="hybridMultilevel"/>
    <w:tmpl w:val="79066756"/>
    <w:lvl w:ilvl="0" w:tplc="BAF26F72">
      <w:start w:val="1"/>
      <w:numFmt w:val="decimal"/>
      <w:lvlText w:val="%1."/>
      <w:lvlJc w:val="left"/>
      <w:pPr>
        <w:ind w:left="1020" w:hanging="360"/>
      </w:pPr>
    </w:lvl>
    <w:lvl w:ilvl="1" w:tplc="D9923C12">
      <w:start w:val="1"/>
      <w:numFmt w:val="decimal"/>
      <w:lvlText w:val="%2."/>
      <w:lvlJc w:val="left"/>
      <w:pPr>
        <w:ind w:left="1020" w:hanging="360"/>
      </w:pPr>
    </w:lvl>
    <w:lvl w:ilvl="2" w:tplc="0C30D59C">
      <w:start w:val="1"/>
      <w:numFmt w:val="decimal"/>
      <w:lvlText w:val="%3."/>
      <w:lvlJc w:val="left"/>
      <w:pPr>
        <w:ind w:left="1020" w:hanging="360"/>
      </w:pPr>
    </w:lvl>
    <w:lvl w:ilvl="3" w:tplc="6738659E">
      <w:start w:val="1"/>
      <w:numFmt w:val="decimal"/>
      <w:lvlText w:val="%4."/>
      <w:lvlJc w:val="left"/>
      <w:pPr>
        <w:ind w:left="1020" w:hanging="360"/>
      </w:pPr>
    </w:lvl>
    <w:lvl w:ilvl="4" w:tplc="C48E2704">
      <w:start w:val="1"/>
      <w:numFmt w:val="decimal"/>
      <w:lvlText w:val="%5."/>
      <w:lvlJc w:val="left"/>
      <w:pPr>
        <w:ind w:left="1020" w:hanging="360"/>
      </w:pPr>
    </w:lvl>
    <w:lvl w:ilvl="5" w:tplc="475E4822">
      <w:start w:val="1"/>
      <w:numFmt w:val="decimal"/>
      <w:lvlText w:val="%6."/>
      <w:lvlJc w:val="left"/>
      <w:pPr>
        <w:ind w:left="1020" w:hanging="360"/>
      </w:pPr>
    </w:lvl>
    <w:lvl w:ilvl="6" w:tplc="BBAAEBD0">
      <w:start w:val="1"/>
      <w:numFmt w:val="decimal"/>
      <w:lvlText w:val="%7."/>
      <w:lvlJc w:val="left"/>
      <w:pPr>
        <w:ind w:left="1020" w:hanging="360"/>
      </w:pPr>
    </w:lvl>
    <w:lvl w:ilvl="7" w:tplc="2D28A9E4">
      <w:start w:val="1"/>
      <w:numFmt w:val="decimal"/>
      <w:lvlText w:val="%8."/>
      <w:lvlJc w:val="left"/>
      <w:pPr>
        <w:ind w:left="1020" w:hanging="360"/>
      </w:pPr>
    </w:lvl>
    <w:lvl w:ilvl="8" w:tplc="0F34C3BA">
      <w:start w:val="1"/>
      <w:numFmt w:val="decimal"/>
      <w:lvlText w:val="%9."/>
      <w:lvlJc w:val="left"/>
      <w:pPr>
        <w:ind w:left="1020" w:hanging="360"/>
      </w:pPr>
    </w:lvl>
  </w:abstractNum>
  <w:abstractNum w:abstractNumId="12" w15:restartNumberingAfterBreak="0">
    <w:nsid w:val="651A7621"/>
    <w:multiLevelType w:val="hybridMultilevel"/>
    <w:tmpl w:val="632E645A"/>
    <w:lvl w:ilvl="0" w:tplc="57BAE2AA">
      <w:start w:val="1"/>
      <w:numFmt w:val="decimal"/>
      <w:lvlText w:val="%1)"/>
      <w:lvlJc w:val="left"/>
      <w:pPr>
        <w:ind w:left="1020" w:hanging="360"/>
      </w:pPr>
    </w:lvl>
    <w:lvl w:ilvl="1" w:tplc="3F0E8538">
      <w:start w:val="1"/>
      <w:numFmt w:val="decimal"/>
      <w:lvlText w:val="%2)"/>
      <w:lvlJc w:val="left"/>
      <w:pPr>
        <w:ind w:left="1020" w:hanging="360"/>
      </w:pPr>
    </w:lvl>
    <w:lvl w:ilvl="2" w:tplc="5BC62754">
      <w:start w:val="1"/>
      <w:numFmt w:val="decimal"/>
      <w:lvlText w:val="%3)"/>
      <w:lvlJc w:val="left"/>
      <w:pPr>
        <w:ind w:left="1020" w:hanging="360"/>
      </w:pPr>
    </w:lvl>
    <w:lvl w:ilvl="3" w:tplc="03902880">
      <w:start w:val="1"/>
      <w:numFmt w:val="decimal"/>
      <w:lvlText w:val="%4)"/>
      <w:lvlJc w:val="left"/>
      <w:pPr>
        <w:ind w:left="1020" w:hanging="360"/>
      </w:pPr>
    </w:lvl>
    <w:lvl w:ilvl="4" w:tplc="2D30D9BE">
      <w:start w:val="1"/>
      <w:numFmt w:val="decimal"/>
      <w:lvlText w:val="%5)"/>
      <w:lvlJc w:val="left"/>
      <w:pPr>
        <w:ind w:left="1020" w:hanging="360"/>
      </w:pPr>
    </w:lvl>
    <w:lvl w:ilvl="5" w:tplc="CD92F1EC">
      <w:start w:val="1"/>
      <w:numFmt w:val="decimal"/>
      <w:lvlText w:val="%6)"/>
      <w:lvlJc w:val="left"/>
      <w:pPr>
        <w:ind w:left="1020" w:hanging="360"/>
      </w:pPr>
    </w:lvl>
    <w:lvl w:ilvl="6" w:tplc="AD5636FE">
      <w:start w:val="1"/>
      <w:numFmt w:val="decimal"/>
      <w:lvlText w:val="%7)"/>
      <w:lvlJc w:val="left"/>
      <w:pPr>
        <w:ind w:left="1020" w:hanging="360"/>
      </w:pPr>
    </w:lvl>
    <w:lvl w:ilvl="7" w:tplc="02A23F7E">
      <w:start w:val="1"/>
      <w:numFmt w:val="decimal"/>
      <w:lvlText w:val="%8)"/>
      <w:lvlJc w:val="left"/>
      <w:pPr>
        <w:ind w:left="1020" w:hanging="360"/>
      </w:pPr>
    </w:lvl>
    <w:lvl w:ilvl="8" w:tplc="35A0C01C">
      <w:start w:val="1"/>
      <w:numFmt w:val="decimal"/>
      <w:lvlText w:val="%9)"/>
      <w:lvlJc w:val="left"/>
      <w:pPr>
        <w:ind w:left="1020" w:hanging="360"/>
      </w:pPr>
    </w:lvl>
  </w:abstractNum>
  <w:abstractNum w:abstractNumId="13" w15:restartNumberingAfterBreak="0">
    <w:nsid w:val="76F033CE"/>
    <w:multiLevelType w:val="hybridMultilevel"/>
    <w:tmpl w:val="60D09C80"/>
    <w:lvl w:ilvl="0" w:tplc="8A4C104E">
      <w:start w:val="1"/>
      <w:numFmt w:val="decimal"/>
      <w:lvlText w:val="%1."/>
      <w:lvlJc w:val="left"/>
      <w:pPr>
        <w:ind w:left="1020" w:hanging="360"/>
      </w:pPr>
    </w:lvl>
    <w:lvl w:ilvl="1" w:tplc="D3A60A62">
      <w:start w:val="1"/>
      <w:numFmt w:val="decimal"/>
      <w:lvlText w:val="%2."/>
      <w:lvlJc w:val="left"/>
      <w:pPr>
        <w:ind w:left="1020" w:hanging="360"/>
      </w:pPr>
    </w:lvl>
    <w:lvl w:ilvl="2" w:tplc="B8646378">
      <w:start w:val="1"/>
      <w:numFmt w:val="decimal"/>
      <w:lvlText w:val="%3."/>
      <w:lvlJc w:val="left"/>
      <w:pPr>
        <w:ind w:left="1020" w:hanging="360"/>
      </w:pPr>
    </w:lvl>
    <w:lvl w:ilvl="3" w:tplc="854AE9A4">
      <w:start w:val="1"/>
      <w:numFmt w:val="decimal"/>
      <w:lvlText w:val="%4."/>
      <w:lvlJc w:val="left"/>
      <w:pPr>
        <w:ind w:left="1020" w:hanging="360"/>
      </w:pPr>
    </w:lvl>
    <w:lvl w:ilvl="4" w:tplc="C8004C90">
      <w:start w:val="1"/>
      <w:numFmt w:val="decimal"/>
      <w:lvlText w:val="%5."/>
      <w:lvlJc w:val="left"/>
      <w:pPr>
        <w:ind w:left="1020" w:hanging="360"/>
      </w:pPr>
    </w:lvl>
    <w:lvl w:ilvl="5" w:tplc="7F404CE4">
      <w:start w:val="1"/>
      <w:numFmt w:val="decimal"/>
      <w:lvlText w:val="%6."/>
      <w:lvlJc w:val="left"/>
      <w:pPr>
        <w:ind w:left="1020" w:hanging="360"/>
      </w:pPr>
    </w:lvl>
    <w:lvl w:ilvl="6" w:tplc="5A4A400C">
      <w:start w:val="1"/>
      <w:numFmt w:val="decimal"/>
      <w:lvlText w:val="%7."/>
      <w:lvlJc w:val="left"/>
      <w:pPr>
        <w:ind w:left="1020" w:hanging="360"/>
      </w:pPr>
    </w:lvl>
    <w:lvl w:ilvl="7" w:tplc="85FA7160">
      <w:start w:val="1"/>
      <w:numFmt w:val="decimal"/>
      <w:lvlText w:val="%8."/>
      <w:lvlJc w:val="left"/>
      <w:pPr>
        <w:ind w:left="1020" w:hanging="360"/>
      </w:pPr>
    </w:lvl>
    <w:lvl w:ilvl="8" w:tplc="F9861DBA">
      <w:start w:val="1"/>
      <w:numFmt w:val="decimal"/>
      <w:lvlText w:val="%9."/>
      <w:lvlJc w:val="left"/>
      <w:pPr>
        <w:ind w:left="1020" w:hanging="360"/>
      </w:pPr>
    </w:lvl>
  </w:abstractNum>
  <w:num w:numId="1" w16cid:durableId="1647012393">
    <w:abstractNumId w:val="0"/>
  </w:num>
  <w:num w:numId="2" w16cid:durableId="223181117">
    <w:abstractNumId w:val="4"/>
  </w:num>
  <w:num w:numId="3" w16cid:durableId="1157308450">
    <w:abstractNumId w:val="12"/>
  </w:num>
  <w:num w:numId="4" w16cid:durableId="1450660995">
    <w:abstractNumId w:val="10"/>
  </w:num>
  <w:num w:numId="5" w16cid:durableId="1704598070">
    <w:abstractNumId w:val="13"/>
  </w:num>
  <w:num w:numId="6" w16cid:durableId="701054395">
    <w:abstractNumId w:val="1"/>
  </w:num>
  <w:num w:numId="7" w16cid:durableId="696389751">
    <w:abstractNumId w:val="11"/>
  </w:num>
  <w:num w:numId="8" w16cid:durableId="241527708">
    <w:abstractNumId w:val="9"/>
  </w:num>
  <w:num w:numId="9" w16cid:durableId="806124795">
    <w:abstractNumId w:val="3"/>
  </w:num>
  <w:num w:numId="10" w16cid:durableId="1764958202">
    <w:abstractNumId w:val="6"/>
  </w:num>
  <w:num w:numId="11" w16cid:durableId="1610968426">
    <w:abstractNumId w:val="7"/>
  </w:num>
  <w:num w:numId="12" w16cid:durableId="755907653">
    <w:abstractNumId w:val="8"/>
  </w:num>
  <w:num w:numId="13" w16cid:durableId="135725310">
    <w:abstractNumId w:val="2"/>
  </w:num>
  <w:num w:numId="14" w16cid:durableId="7800335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63C"/>
    <w:rsid w:val="00023156"/>
    <w:rsid w:val="000351F3"/>
    <w:rsid w:val="00045A15"/>
    <w:rsid w:val="00046F19"/>
    <w:rsid w:val="00051AFD"/>
    <w:rsid w:val="00052B2F"/>
    <w:rsid w:val="0006163D"/>
    <w:rsid w:val="00065CD8"/>
    <w:rsid w:val="00095AC0"/>
    <w:rsid w:val="000C309E"/>
    <w:rsid w:val="000C55C6"/>
    <w:rsid w:val="000E022C"/>
    <w:rsid w:val="000F6967"/>
    <w:rsid w:val="00101638"/>
    <w:rsid w:val="00114EA6"/>
    <w:rsid w:val="00136994"/>
    <w:rsid w:val="0014514C"/>
    <w:rsid w:val="001509EB"/>
    <w:rsid w:val="00150CEF"/>
    <w:rsid w:val="00174D6C"/>
    <w:rsid w:val="001868E6"/>
    <w:rsid w:val="001977E5"/>
    <w:rsid w:val="001A6C91"/>
    <w:rsid w:val="001B0199"/>
    <w:rsid w:val="001C137C"/>
    <w:rsid w:val="001D27DA"/>
    <w:rsid w:val="001D2A24"/>
    <w:rsid w:val="001D3E44"/>
    <w:rsid w:val="001D5983"/>
    <w:rsid w:val="001D6360"/>
    <w:rsid w:val="001D786A"/>
    <w:rsid w:val="001E15F2"/>
    <w:rsid w:val="001E36A1"/>
    <w:rsid w:val="001E529B"/>
    <w:rsid w:val="001E5AEE"/>
    <w:rsid w:val="001E6F4B"/>
    <w:rsid w:val="001F0E8C"/>
    <w:rsid w:val="001F43EB"/>
    <w:rsid w:val="002038AB"/>
    <w:rsid w:val="0021652D"/>
    <w:rsid w:val="00217086"/>
    <w:rsid w:val="002218A7"/>
    <w:rsid w:val="00234321"/>
    <w:rsid w:val="0023766A"/>
    <w:rsid w:val="00246FFD"/>
    <w:rsid w:val="00250BB2"/>
    <w:rsid w:val="00257CDC"/>
    <w:rsid w:val="00263A51"/>
    <w:rsid w:val="00265677"/>
    <w:rsid w:val="002702C6"/>
    <w:rsid w:val="00271743"/>
    <w:rsid w:val="002728F0"/>
    <w:rsid w:val="002825B5"/>
    <w:rsid w:val="00292014"/>
    <w:rsid w:val="002A7142"/>
    <w:rsid w:val="002A73D8"/>
    <w:rsid w:val="002B102E"/>
    <w:rsid w:val="002B7324"/>
    <w:rsid w:val="002C714E"/>
    <w:rsid w:val="002E02B1"/>
    <w:rsid w:val="00305CD1"/>
    <w:rsid w:val="003136F8"/>
    <w:rsid w:val="00317C60"/>
    <w:rsid w:val="00320F2F"/>
    <w:rsid w:val="00341683"/>
    <w:rsid w:val="003436EE"/>
    <w:rsid w:val="00343D74"/>
    <w:rsid w:val="003B15A6"/>
    <w:rsid w:val="003C0A22"/>
    <w:rsid w:val="003C192F"/>
    <w:rsid w:val="003F7208"/>
    <w:rsid w:val="00423298"/>
    <w:rsid w:val="00426063"/>
    <w:rsid w:val="00441099"/>
    <w:rsid w:val="004413CB"/>
    <w:rsid w:val="004A220A"/>
    <w:rsid w:val="004B5C50"/>
    <w:rsid w:val="004C2818"/>
    <w:rsid w:val="004C6E66"/>
    <w:rsid w:val="004C7A9A"/>
    <w:rsid w:val="004E16FD"/>
    <w:rsid w:val="004E6171"/>
    <w:rsid w:val="004F0D17"/>
    <w:rsid w:val="004F506C"/>
    <w:rsid w:val="0050021C"/>
    <w:rsid w:val="005050C6"/>
    <w:rsid w:val="0051251D"/>
    <w:rsid w:val="00522D5F"/>
    <w:rsid w:val="005350F3"/>
    <w:rsid w:val="00556A8D"/>
    <w:rsid w:val="005672F5"/>
    <w:rsid w:val="00586036"/>
    <w:rsid w:val="00590FE7"/>
    <w:rsid w:val="005915A0"/>
    <w:rsid w:val="005B7EDE"/>
    <w:rsid w:val="005C4E29"/>
    <w:rsid w:val="005C6E4A"/>
    <w:rsid w:val="005D497C"/>
    <w:rsid w:val="005E29E9"/>
    <w:rsid w:val="005E67F7"/>
    <w:rsid w:val="005E756C"/>
    <w:rsid w:val="005F2353"/>
    <w:rsid w:val="00600001"/>
    <w:rsid w:val="006023A1"/>
    <w:rsid w:val="006054C4"/>
    <w:rsid w:val="00621184"/>
    <w:rsid w:val="006266B7"/>
    <w:rsid w:val="00640807"/>
    <w:rsid w:val="0066063F"/>
    <w:rsid w:val="00681C68"/>
    <w:rsid w:val="00682652"/>
    <w:rsid w:val="00684E2C"/>
    <w:rsid w:val="00685B12"/>
    <w:rsid w:val="006B09C5"/>
    <w:rsid w:val="006C4457"/>
    <w:rsid w:val="006D77F2"/>
    <w:rsid w:val="006E3FFF"/>
    <w:rsid w:val="006E55E9"/>
    <w:rsid w:val="006E6A01"/>
    <w:rsid w:val="006E7E40"/>
    <w:rsid w:val="00711B82"/>
    <w:rsid w:val="00747F3B"/>
    <w:rsid w:val="00755BED"/>
    <w:rsid w:val="007600EB"/>
    <w:rsid w:val="0076639A"/>
    <w:rsid w:val="00770C01"/>
    <w:rsid w:val="00777544"/>
    <w:rsid w:val="00780FCF"/>
    <w:rsid w:val="0079201A"/>
    <w:rsid w:val="00793941"/>
    <w:rsid w:val="007A17A8"/>
    <w:rsid w:val="007A1D7C"/>
    <w:rsid w:val="007A2EB1"/>
    <w:rsid w:val="007A322E"/>
    <w:rsid w:val="007A3541"/>
    <w:rsid w:val="007A5626"/>
    <w:rsid w:val="007C1E64"/>
    <w:rsid w:val="007C4717"/>
    <w:rsid w:val="007D339D"/>
    <w:rsid w:val="007D7940"/>
    <w:rsid w:val="007E19BB"/>
    <w:rsid w:val="007E2579"/>
    <w:rsid w:val="007F499B"/>
    <w:rsid w:val="00825851"/>
    <w:rsid w:val="00827E01"/>
    <w:rsid w:val="00836158"/>
    <w:rsid w:val="00845E62"/>
    <w:rsid w:val="00852F95"/>
    <w:rsid w:val="00865AA1"/>
    <w:rsid w:val="00882C0A"/>
    <w:rsid w:val="00896605"/>
    <w:rsid w:val="008A12D6"/>
    <w:rsid w:val="008B0AD5"/>
    <w:rsid w:val="008C0EE1"/>
    <w:rsid w:val="008D3FB2"/>
    <w:rsid w:val="008E04D7"/>
    <w:rsid w:val="008E1D1A"/>
    <w:rsid w:val="008F1836"/>
    <w:rsid w:val="008F2716"/>
    <w:rsid w:val="00913266"/>
    <w:rsid w:val="009231E7"/>
    <w:rsid w:val="0092728B"/>
    <w:rsid w:val="00932A91"/>
    <w:rsid w:val="00932D9F"/>
    <w:rsid w:val="009350A6"/>
    <w:rsid w:val="00935108"/>
    <w:rsid w:val="00942C4B"/>
    <w:rsid w:val="00947442"/>
    <w:rsid w:val="00952745"/>
    <w:rsid w:val="00957163"/>
    <w:rsid w:val="00960B33"/>
    <w:rsid w:val="00973B5E"/>
    <w:rsid w:val="009830D0"/>
    <w:rsid w:val="0098363B"/>
    <w:rsid w:val="00986EEE"/>
    <w:rsid w:val="009D67B3"/>
    <w:rsid w:val="009E0CE0"/>
    <w:rsid w:val="009F3531"/>
    <w:rsid w:val="009F3DC3"/>
    <w:rsid w:val="00A43E14"/>
    <w:rsid w:val="00A76763"/>
    <w:rsid w:val="00AC057D"/>
    <w:rsid w:val="00B4341E"/>
    <w:rsid w:val="00B43BD4"/>
    <w:rsid w:val="00B54C59"/>
    <w:rsid w:val="00B62B8E"/>
    <w:rsid w:val="00B84147"/>
    <w:rsid w:val="00BA364A"/>
    <w:rsid w:val="00BA517C"/>
    <w:rsid w:val="00BB0D6E"/>
    <w:rsid w:val="00BC2EAA"/>
    <w:rsid w:val="00BD14A3"/>
    <w:rsid w:val="00BD3E62"/>
    <w:rsid w:val="00BD78BA"/>
    <w:rsid w:val="00BE70DE"/>
    <w:rsid w:val="00C00553"/>
    <w:rsid w:val="00C07998"/>
    <w:rsid w:val="00C115AB"/>
    <w:rsid w:val="00C20217"/>
    <w:rsid w:val="00C23672"/>
    <w:rsid w:val="00C425BA"/>
    <w:rsid w:val="00C60EFA"/>
    <w:rsid w:val="00C75B6A"/>
    <w:rsid w:val="00C835E7"/>
    <w:rsid w:val="00C9060C"/>
    <w:rsid w:val="00C95430"/>
    <w:rsid w:val="00C955A0"/>
    <w:rsid w:val="00C979BC"/>
    <w:rsid w:val="00CA7728"/>
    <w:rsid w:val="00CD16A8"/>
    <w:rsid w:val="00CD51E3"/>
    <w:rsid w:val="00CF558E"/>
    <w:rsid w:val="00CF72AA"/>
    <w:rsid w:val="00D0450D"/>
    <w:rsid w:val="00D04597"/>
    <w:rsid w:val="00D04AB4"/>
    <w:rsid w:val="00D05A82"/>
    <w:rsid w:val="00D106F3"/>
    <w:rsid w:val="00D1140F"/>
    <w:rsid w:val="00D173BC"/>
    <w:rsid w:val="00D50BC5"/>
    <w:rsid w:val="00D62255"/>
    <w:rsid w:val="00D755E0"/>
    <w:rsid w:val="00D8189E"/>
    <w:rsid w:val="00DA6172"/>
    <w:rsid w:val="00DD48D5"/>
    <w:rsid w:val="00E34CB9"/>
    <w:rsid w:val="00E41774"/>
    <w:rsid w:val="00E50884"/>
    <w:rsid w:val="00E65F9F"/>
    <w:rsid w:val="00E70838"/>
    <w:rsid w:val="00E74ED1"/>
    <w:rsid w:val="00E8164B"/>
    <w:rsid w:val="00E85774"/>
    <w:rsid w:val="00EA173A"/>
    <w:rsid w:val="00ED1F78"/>
    <w:rsid w:val="00EE063C"/>
    <w:rsid w:val="00EE19A9"/>
    <w:rsid w:val="00EF05A9"/>
    <w:rsid w:val="00EF5C72"/>
    <w:rsid w:val="00F1521A"/>
    <w:rsid w:val="00F32B67"/>
    <w:rsid w:val="00F54F7F"/>
    <w:rsid w:val="00F62B3A"/>
    <w:rsid w:val="00F639ED"/>
    <w:rsid w:val="00F73A62"/>
    <w:rsid w:val="00F740B1"/>
    <w:rsid w:val="00F85F89"/>
    <w:rsid w:val="00F94F23"/>
    <w:rsid w:val="00FC6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BEEE62"/>
  <w14:defaultImageDpi w14:val="96"/>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link w:val="EndnoteText"/>
    <w:uiPriority w:val="99"/>
    <w:semiHidden/>
    <w:locked/>
    <w:rsid w:val="00EE063C"/>
    <w:rPr>
      <w:rFonts w:ascii="Courier" w:hAnsi="Courier" w:cs="Courier"/>
      <w:sz w:val="20"/>
      <w:szCs w:val="20"/>
    </w:rPr>
  </w:style>
  <w:style w:type="character" w:styleId="EndnoteReference">
    <w:name w:val="endnote reference"/>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link w:val="FootnoteText"/>
    <w:uiPriority w:val="99"/>
    <w:semiHidden/>
    <w:locked/>
    <w:rsid w:val="00EE063C"/>
    <w:rPr>
      <w:rFonts w:ascii="Courier" w:hAnsi="Courier" w:cs="Courier"/>
      <w:sz w:val="20"/>
      <w:szCs w:val="20"/>
    </w:rPr>
  </w:style>
  <w:style w:type="character" w:styleId="FootnoteReference">
    <w:name w:val="footnote reference"/>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 w:type="paragraph" w:styleId="Header">
    <w:name w:val="header"/>
    <w:basedOn w:val="Normal"/>
    <w:link w:val="HeaderChar"/>
    <w:uiPriority w:val="99"/>
    <w:unhideWhenUsed/>
    <w:rsid w:val="002218A7"/>
    <w:pPr>
      <w:tabs>
        <w:tab w:val="center" w:pos="4680"/>
        <w:tab w:val="right" w:pos="9360"/>
      </w:tabs>
    </w:pPr>
  </w:style>
  <w:style w:type="character" w:customStyle="1" w:styleId="HeaderChar">
    <w:name w:val="Header Char"/>
    <w:basedOn w:val="DefaultParagraphFont"/>
    <w:link w:val="Header"/>
    <w:uiPriority w:val="99"/>
    <w:rsid w:val="002218A7"/>
    <w:rPr>
      <w:rFonts w:ascii="Times New Roman" w:hAnsi="Times New Roman"/>
      <w:sz w:val="18"/>
      <w:szCs w:val="24"/>
    </w:rPr>
  </w:style>
  <w:style w:type="paragraph" w:styleId="Footer">
    <w:name w:val="footer"/>
    <w:basedOn w:val="Normal"/>
    <w:link w:val="FooterChar"/>
    <w:uiPriority w:val="99"/>
    <w:unhideWhenUsed/>
    <w:rsid w:val="002218A7"/>
    <w:pPr>
      <w:tabs>
        <w:tab w:val="center" w:pos="4680"/>
        <w:tab w:val="right" w:pos="9360"/>
      </w:tabs>
    </w:pPr>
  </w:style>
  <w:style w:type="character" w:customStyle="1" w:styleId="FooterChar">
    <w:name w:val="Footer Char"/>
    <w:basedOn w:val="DefaultParagraphFont"/>
    <w:link w:val="Footer"/>
    <w:uiPriority w:val="99"/>
    <w:rsid w:val="002218A7"/>
    <w:rPr>
      <w:rFonts w:ascii="Times New Roman" w:hAnsi="Times New Roman"/>
      <w:sz w:val="18"/>
      <w:szCs w:val="24"/>
    </w:rPr>
  </w:style>
  <w:style w:type="paragraph" w:styleId="ListParagraph">
    <w:name w:val="List Paragraph"/>
    <w:basedOn w:val="Normal"/>
    <w:uiPriority w:val="34"/>
    <w:qFormat/>
    <w:rsid w:val="00755BED"/>
    <w:pPr>
      <w:ind w:left="720"/>
      <w:contextualSpacing/>
    </w:pPr>
  </w:style>
  <w:style w:type="character" w:styleId="CommentReference">
    <w:name w:val="annotation reference"/>
    <w:basedOn w:val="DefaultParagraphFont"/>
    <w:uiPriority w:val="99"/>
    <w:semiHidden/>
    <w:unhideWhenUsed/>
    <w:rsid w:val="003136F8"/>
    <w:rPr>
      <w:sz w:val="16"/>
      <w:szCs w:val="16"/>
    </w:rPr>
  </w:style>
  <w:style w:type="paragraph" w:styleId="CommentText">
    <w:name w:val="annotation text"/>
    <w:basedOn w:val="Normal"/>
    <w:link w:val="CommentTextChar"/>
    <w:uiPriority w:val="99"/>
    <w:unhideWhenUsed/>
    <w:rsid w:val="003136F8"/>
    <w:rPr>
      <w:sz w:val="20"/>
      <w:szCs w:val="20"/>
    </w:rPr>
  </w:style>
  <w:style w:type="character" w:customStyle="1" w:styleId="CommentTextChar">
    <w:name w:val="Comment Text Char"/>
    <w:basedOn w:val="DefaultParagraphFont"/>
    <w:link w:val="CommentText"/>
    <w:uiPriority w:val="99"/>
    <w:rsid w:val="003136F8"/>
    <w:rPr>
      <w:rFonts w:ascii="Times New Roman" w:hAnsi="Times New Roman"/>
    </w:rPr>
  </w:style>
  <w:style w:type="paragraph" w:styleId="CommentSubject">
    <w:name w:val="annotation subject"/>
    <w:basedOn w:val="CommentText"/>
    <w:next w:val="CommentText"/>
    <w:link w:val="CommentSubjectChar"/>
    <w:uiPriority w:val="99"/>
    <w:semiHidden/>
    <w:unhideWhenUsed/>
    <w:rsid w:val="003136F8"/>
    <w:rPr>
      <w:b/>
      <w:bCs/>
    </w:rPr>
  </w:style>
  <w:style w:type="character" w:customStyle="1" w:styleId="CommentSubjectChar">
    <w:name w:val="Comment Subject Char"/>
    <w:basedOn w:val="CommentTextChar"/>
    <w:link w:val="CommentSubject"/>
    <w:uiPriority w:val="99"/>
    <w:semiHidden/>
    <w:rsid w:val="003136F8"/>
    <w:rPr>
      <w:rFonts w:ascii="Times New Roman" w:hAnsi="Times New Roman"/>
      <w:b/>
      <w:bCs/>
    </w:rPr>
  </w:style>
  <w:style w:type="character" w:customStyle="1" w:styleId="awspan">
    <w:name w:val="awspan"/>
    <w:basedOn w:val="DefaultParagraphFont"/>
    <w:rsid w:val="0079201A"/>
  </w:style>
  <w:style w:type="character" w:styleId="Hyperlink">
    <w:name w:val="Hyperlink"/>
    <w:basedOn w:val="DefaultParagraphFont"/>
    <w:uiPriority w:val="99"/>
    <w:unhideWhenUsed/>
    <w:rsid w:val="00250BB2"/>
    <w:rPr>
      <w:color w:val="0563C1" w:themeColor="hyperlink"/>
      <w:u w:val="single"/>
    </w:rPr>
  </w:style>
  <w:style w:type="character" w:styleId="UnresolvedMention">
    <w:name w:val="Unresolved Mention"/>
    <w:basedOn w:val="DefaultParagraphFont"/>
    <w:uiPriority w:val="99"/>
    <w:semiHidden/>
    <w:unhideWhenUsed/>
    <w:rsid w:val="00250BB2"/>
    <w:rPr>
      <w:color w:val="605E5C"/>
      <w:shd w:val="clear" w:color="auto" w:fill="E1DFDD"/>
    </w:rPr>
  </w:style>
  <w:style w:type="character" w:styleId="LineNumber">
    <w:name w:val="line number"/>
    <w:basedOn w:val="DefaultParagraphFont"/>
    <w:uiPriority w:val="99"/>
    <w:semiHidden/>
    <w:unhideWhenUsed/>
    <w:rsid w:val="00D04AB4"/>
  </w:style>
  <w:style w:type="paragraph" w:styleId="NormalWeb">
    <w:name w:val="Normal (Web)"/>
    <w:basedOn w:val="Normal"/>
    <w:semiHidden/>
    <w:rsid w:val="00136994"/>
    <w:pPr>
      <w:suppressAutoHyphens w:val="0"/>
      <w:autoSpaceDE/>
      <w:autoSpaceDN/>
      <w:adjustRightInd/>
      <w:spacing w:before="100" w:beforeAutospacing="1" w:after="100" w:afterAutospacing="1"/>
    </w:pPr>
    <w:rPr>
      <w:sz w:val="24"/>
    </w:rPr>
  </w:style>
  <w:style w:type="paragraph" w:customStyle="1" w:styleId="WW-Default">
    <w:name w:val="WW-Default"/>
    <w:uiPriority w:val="99"/>
    <w:rsid w:val="00136994"/>
    <w:pPr>
      <w:widowControl w:val="0"/>
      <w:autoSpaceDE w:val="0"/>
      <w:autoSpaceDN w:val="0"/>
      <w:adjustRightInd w:val="0"/>
    </w:pPr>
    <w:rPr>
      <w:rFonts w:ascii="Courier New" w:hAnsi="Times New Roman" w:cs="Courier New"/>
      <w:sz w:val="24"/>
      <w:szCs w:val="24"/>
      <w:lang w:bidi="hi-IN"/>
    </w:rPr>
  </w:style>
  <w:style w:type="character" w:styleId="PlaceholderText">
    <w:name w:val="Placeholder Text"/>
    <w:basedOn w:val="DefaultParagraphFont"/>
    <w:uiPriority w:val="99"/>
    <w:semiHidden/>
    <w:rsid w:val="0013699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6C9F2-32AE-4F86-B1CF-8881770F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2031</Words>
  <Characters>11577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2025-12-29T18:43:00Z</dcterms:created>
  <dcterms:modified xsi:type="dcterms:W3CDTF">2025-12-29T18:43:00Z</dcterms:modified>
</cp:coreProperties>
</file>