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42BD5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  <w:lang w:val="en-CA"/>
        </w:rPr>
        <w:fldChar w:fldCharType="begin"/>
      </w:r>
      <w:r w:rsidRPr="00C212F2">
        <w:rPr>
          <w:rFonts w:eastAsia="Aptos"/>
          <w:sz w:val="18"/>
          <w:lang w:val="en-CA"/>
        </w:rPr>
        <w:instrText xml:space="preserve"> SEQ CHAPTER \h \r 1</w:instrText>
      </w:r>
      <w:r w:rsidRPr="00C212F2">
        <w:rPr>
          <w:rFonts w:eastAsia="Aptos"/>
          <w:sz w:val="18"/>
          <w:lang w:val="en-CA"/>
        </w:rPr>
        <w:fldChar w:fldCharType="end"/>
      </w:r>
      <w:r w:rsidRPr="00C212F2">
        <w:rPr>
          <w:rFonts w:eastAsia="Aptos"/>
          <w:b/>
          <w:bCs/>
          <w:sz w:val="18"/>
        </w:rPr>
        <w:t>R277.  Education, Administration.</w:t>
      </w:r>
    </w:p>
    <w:p w14:paraId="64F27719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b/>
          <w:bCs/>
          <w:sz w:val="18"/>
        </w:rPr>
        <w:t>R277-319.  Special Educator Stipends.</w:t>
      </w:r>
    </w:p>
    <w:p w14:paraId="44CFE980" w14:textId="76F4EDBE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b/>
          <w:bCs/>
          <w:sz w:val="18"/>
        </w:rPr>
        <w:t>R277-319-1.  Authority, Purpose, and Oversight Category.</w:t>
      </w:r>
    </w:p>
    <w:p w14:paraId="773DB128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(1)  This rule is authorized by:</w:t>
      </w:r>
    </w:p>
    <w:p w14:paraId="14C24DAF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(a)  Utah Constitution Article X, Section 3, which vests general control and supervision of public education in the Board;</w:t>
      </w:r>
    </w:p>
    <w:p w14:paraId="7D2AF9AE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(b)  Subsection 53E-3-401(4), which allows the Board to make rules to execute the Board's duties and responsibilities under the Utah Constitution and state law; and</w:t>
      </w:r>
    </w:p>
    <w:p w14:paraId="74B97082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(c)  Subsection 53F-2-310(2), which requires the Board to distribute money appropriated for stipends for special educators for additional days of work.</w:t>
      </w:r>
    </w:p>
    <w:p w14:paraId="091E2570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(2)  The purpose of this rule is providing standards and procedures for distributing money appropriated for stipends for special educators for additional days of work, recognizing:</w:t>
      </w:r>
    </w:p>
    <w:p w14:paraId="648EF70D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(a)  the added duties and responsibilities assumed by special educators to comply with federal law and Board special education rules regulating the education of students with disabilities; and</w:t>
      </w:r>
    </w:p>
    <w:p w14:paraId="5BA8A4DB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(b)  the need to attract and retain qualified special educators.</w:t>
      </w:r>
    </w:p>
    <w:p w14:paraId="6FC95E6A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(3)  This Rule R277-319 is categorized as Category 4 as described in Rule R277-111.</w:t>
      </w:r>
    </w:p>
    <w:p w14:paraId="1B380830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</w:p>
    <w:p w14:paraId="4F9EE0B2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b/>
          <w:bCs/>
          <w:sz w:val="18"/>
        </w:rPr>
        <w:t>R277-319-2.  Definitions.</w:t>
      </w:r>
    </w:p>
    <w:p w14:paraId="1D1EDC8A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(1)  "After the school year" means two weeks after the final day of the required contract period, as determined by the employer.</w:t>
      </w:r>
    </w:p>
    <w:p w14:paraId="43FF65BC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(2)  "Before the school year" means two weeks before the first day of the required contract period, as determined by the employer.</w:t>
      </w:r>
    </w:p>
    <w:p w14:paraId="37EEC1B4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(3)(a)  "Duties related to the IEP process" means the duties and  responsibilities provided in Subsection 53F-2-310(4);</w:t>
      </w:r>
    </w:p>
    <w:p w14:paraId="5D89D926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(b)  "Duties related to the IEP process" do not include:</w:t>
      </w:r>
    </w:p>
    <w:p w14:paraId="0C5C80F1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(i)  professional development;</w:t>
      </w:r>
    </w:p>
    <w:p w14:paraId="53CB53DF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(ii)  instructional planning;</w:t>
      </w:r>
    </w:p>
    <w:p w14:paraId="3A5D864D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(iii)  classroom set-up and tear-down;</w:t>
      </w:r>
    </w:p>
    <w:p w14:paraId="30F60E37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(iv)  district level planning; and</w:t>
      </w:r>
    </w:p>
    <w:p w14:paraId="6A8C3071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(v)  direct student instruction.</w:t>
      </w:r>
    </w:p>
    <w:p w14:paraId="1F2B3E70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(4)(a)  "Special educator" has the same meaning as described in Subsection 53F-2-310(1)(b).</w:t>
      </w:r>
    </w:p>
    <w:p w14:paraId="59070AEE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(b)  "Special educator" includes a pre-kindergarten special education teacher.</w:t>
      </w:r>
    </w:p>
    <w:p w14:paraId="7E3B27CC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(5)  "Work day" means a special educator's contract day as determined by the employer.</w:t>
      </w:r>
    </w:p>
    <w:p w14:paraId="3E72A70F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</w:p>
    <w:p w14:paraId="4F7FBE4B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b/>
          <w:bCs/>
          <w:sz w:val="18"/>
        </w:rPr>
        <w:t>R277-319-3.  Special Educator Stipend.</w:t>
      </w:r>
    </w:p>
    <w:p w14:paraId="72B426E6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(1)  A special educator or speech language pathologist (SLP) eligible for funding shall complete a survey through an online provider approved by the Superintendent as follows:</w:t>
      </w:r>
    </w:p>
    <w:p w14:paraId="044535BA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(a)  by a date determined by the special educator's LEA, but no later than September 30 for a special educator who worked before the school year began; and</w:t>
      </w:r>
    </w:p>
    <w:p w14:paraId="6E2AD0E6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(b)  by a date determined by the special educator's LEA, but no later than July 31 for a special educator who worked after the school year ended.</w:t>
      </w:r>
    </w:p>
    <w:p w14:paraId="7B9CE776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(2)  A special educator may only receive a stipend under this rule for actual days worked.</w:t>
      </w:r>
    </w:p>
    <w:p w14:paraId="4D6886E3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(3)  An LEA may not transfer stipend workdays under this rule among special educators.</w:t>
      </w:r>
    </w:p>
    <w:p w14:paraId="3E0B9765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(4)  A special educator hired by an LEA after the beginning of the school year may receive funding for extra days to the extent of funds available.</w:t>
      </w:r>
    </w:p>
    <w:p w14:paraId="5DBBCADE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</w:p>
    <w:p w14:paraId="086283F0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b/>
          <w:bCs/>
          <w:sz w:val="18"/>
        </w:rPr>
        <w:t>R277-319-4.  Superintendent Responsibilities.</w:t>
      </w:r>
    </w:p>
    <w:p w14:paraId="466C4722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(1)  The Superintendent shall annually review this program and determine, based upon the annual appropriation, the number of special education days to be funded.</w:t>
      </w:r>
    </w:p>
    <w:p w14:paraId="42F1BEFD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(2)  To simplify accounting and evaluation requirements for LEAs, the Superintendent shall:</w:t>
      </w:r>
    </w:p>
    <w:p w14:paraId="4F38CF5E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(a)  provide a methodology for tracking and accounting for special educator days to LEAs;</w:t>
      </w:r>
    </w:p>
    <w:p w14:paraId="517832B9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(b)  provide a checklist of appropriate duties related to the IEP process for special educators; and</w:t>
      </w:r>
    </w:p>
    <w:p w14:paraId="0B3EBA6D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(c)  distribute reimbursements to participating LEAs for eligible special educators on a semiannual basis.</w:t>
      </w:r>
    </w:p>
    <w:p w14:paraId="0082AB90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</w:p>
    <w:p w14:paraId="2FFC5D20" w14:textId="77777777" w:rsidR="00E9461A" w:rsidRPr="00C212F2" w:rsidRDefault="00E9461A" w:rsidP="00E9461A">
      <w:pPr>
        <w:widowControl/>
        <w:suppressAutoHyphens/>
        <w:rPr>
          <w:rFonts w:eastAsia="Aptos"/>
          <w:bCs/>
          <w:sz w:val="18"/>
        </w:rPr>
      </w:pPr>
      <w:r w:rsidRPr="00C212F2">
        <w:rPr>
          <w:rFonts w:eastAsia="Aptos"/>
          <w:b/>
          <w:bCs/>
          <w:sz w:val="18"/>
        </w:rPr>
        <w:t>R277-319-5.  LEA Responsibilities.</w:t>
      </w:r>
    </w:p>
    <w:p w14:paraId="7F8D55BC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bCs/>
          <w:sz w:val="18"/>
        </w:rPr>
        <w:tab/>
      </w:r>
      <w:r w:rsidRPr="00C212F2">
        <w:rPr>
          <w:rFonts w:eastAsia="Aptos"/>
          <w:sz w:val="18"/>
        </w:rPr>
        <w:t>(1)  An LEA shall distribute the survey required under Subsection R277-319-3(1) to eligible special educators and speech language pathologists semi-annually in time to meet the reporting deadlines of this rule.</w:t>
      </w:r>
    </w:p>
    <w:p w14:paraId="6C1F1314" w14:textId="2D519AB2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(2)(a)  An LEA shall maintain its Extended Year Special Educator (EYSE) dashboard and ensure valid survey responses no later than September 30 and July 31 annually.</w:t>
      </w:r>
    </w:p>
    <w:p w14:paraId="7F2BDF92" w14:textId="2EA85E21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(b)  In its dashboard an LEA shall verify:</w:t>
      </w:r>
    </w:p>
    <w:p w14:paraId="512CE73D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(i)  that special educators and speech language pathologists have not exceeded the allowed days; and</w:t>
      </w:r>
    </w:p>
    <w:p w14:paraId="42AFEB19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sz w:val="18"/>
        </w:rPr>
        <w:tab/>
        <w:t>(ii)  that information submitted is complete and correct with no duplicate entries.</w:t>
      </w:r>
    </w:p>
    <w:p w14:paraId="71DAF30C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</w:p>
    <w:p w14:paraId="77AB12CF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b/>
          <w:bCs/>
          <w:sz w:val="18"/>
        </w:rPr>
        <w:lastRenderedPageBreak/>
        <w:t>KEY:  special educators, stipends</w:t>
      </w:r>
    </w:p>
    <w:p w14:paraId="78FD8E59" w14:textId="0C2FEC10" w:rsidR="00E9461A" w:rsidRPr="00C212F2" w:rsidRDefault="00E9461A" w:rsidP="00E9461A">
      <w:pPr>
        <w:widowControl/>
        <w:suppressAutoHyphens/>
        <w:rPr>
          <w:rFonts w:eastAsia="Aptos"/>
          <w:b/>
          <w:bCs/>
          <w:sz w:val="18"/>
        </w:rPr>
      </w:pPr>
      <w:r w:rsidRPr="00C212F2">
        <w:rPr>
          <w:rFonts w:eastAsia="Aptos"/>
          <w:b/>
          <w:bCs/>
          <w:sz w:val="18"/>
        </w:rPr>
        <w:t xml:space="preserve">Date of Last Change:  </w:t>
      </w:r>
      <w:r w:rsidR="00AF0DCB" w:rsidRPr="00C212F2">
        <w:rPr>
          <w:rFonts w:eastAsia="Aptos"/>
          <w:b/>
          <w:bCs/>
          <w:sz w:val="18"/>
        </w:rPr>
        <w:t xml:space="preserve">December 8, </w:t>
      </w:r>
      <w:r w:rsidRPr="00C212F2">
        <w:rPr>
          <w:rFonts w:eastAsia="Aptos"/>
          <w:b/>
          <w:bCs/>
          <w:sz w:val="18"/>
        </w:rPr>
        <w:t>2025</w:t>
      </w:r>
    </w:p>
    <w:p w14:paraId="324AF5FA" w14:textId="77777777" w:rsidR="00E9461A" w:rsidRPr="00C212F2" w:rsidRDefault="00E9461A" w:rsidP="00E9461A">
      <w:pPr>
        <w:widowControl/>
        <w:suppressAutoHyphens/>
        <w:rPr>
          <w:rFonts w:eastAsia="Aptos"/>
          <w:b/>
          <w:bCs/>
          <w:sz w:val="18"/>
        </w:rPr>
      </w:pPr>
      <w:r w:rsidRPr="00C212F2">
        <w:rPr>
          <w:rFonts w:eastAsia="Aptos"/>
          <w:b/>
          <w:bCs/>
          <w:sz w:val="18"/>
        </w:rPr>
        <w:t>Notice of Continuation:  October 7, 2025</w:t>
      </w:r>
    </w:p>
    <w:p w14:paraId="00CB453A" w14:textId="77777777" w:rsidR="00E9461A" w:rsidRPr="00C212F2" w:rsidRDefault="00E9461A" w:rsidP="00E9461A">
      <w:pPr>
        <w:widowControl/>
        <w:suppressAutoHyphens/>
        <w:rPr>
          <w:rFonts w:eastAsia="Aptos"/>
          <w:sz w:val="18"/>
        </w:rPr>
      </w:pPr>
      <w:r w:rsidRPr="00C212F2">
        <w:rPr>
          <w:rFonts w:eastAsia="Aptos"/>
          <w:b/>
          <w:bCs/>
          <w:sz w:val="18"/>
        </w:rPr>
        <w:t>Authorizing, and Implemented or Interpreted Law:  Art X Sec 3; 53E-3-401(4); 53F-2-310</w:t>
      </w:r>
    </w:p>
    <w:p w14:paraId="112B678A" w14:textId="77777777" w:rsidR="00E9461A" w:rsidRPr="00C212F2" w:rsidRDefault="00E9461A" w:rsidP="00E9461A">
      <w:pPr>
        <w:widowControl/>
        <w:suppressAutoHyphens/>
        <w:rPr>
          <w:sz w:val="18"/>
        </w:rPr>
      </w:pPr>
    </w:p>
    <w:p w14:paraId="066E577A" w14:textId="4E5CBF2F" w:rsidR="008076AE" w:rsidRPr="00C212F2" w:rsidRDefault="008076AE" w:rsidP="00E9461A">
      <w:pPr>
        <w:widowControl/>
        <w:suppressAutoHyphens/>
        <w:rPr>
          <w:sz w:val="18"/>
        </w:rPr>
      </w:pPr>
    </w:p>
    <w:sectPr w:rsidR="008076AE" w:rsidRPr="00C212F2" w:rsidSect="00C212F2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8E278" w14:textId="77777777" w:rsidR="005176F1" w:rsidRDefault="005176F1" w:rsidP="00C17968">
      <w:r>
        <w:separator/>
      </w:r>
    </w:p>
  </w:endnote>
  <w:endnote w:type="continuationSeparator" w:id="0">
    <w:p w14:paraId="47A8FB3E" w14:textId="77777777" w:rsidR="005176F1" w:rsidRDefault="005176F1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1B27A" w14:textId="77777777" w:rsidR="005176F1" w:rsidRDefault="005176F1" w:rsidP="00C17968">
      <w:r>
        <w:separator/>
      </w:r>
    </w:p>
  </w:footnote>
  <w:footnote w:type="continuationSeparator" w:id="0">
    <w:p w14:paraId="36AFFCD7" w14:textId="77777777" w:rsidR="005176F1" w:rsidRDefault="005176F1" w:rsidP="00C17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94A1F"/>
    <w:multiLevelType w:val="hybridMultilevel"/>
    <w:tmpl w:val="11740AB2"/>
    <w:lvl w:ilvl="0" w:tplc="95F417E8">
      <w:start w:val="1"/>
      <w:numFmt w:val="decimal"/>
      <w:lvlText w:val="(%1)"/>
      <w:lvlJc w:val="left"/>
      <w:pPr>
        <w:ind w:left="180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03A2FBE"/>
    <w:multiLevelType w:val="hybridMultilevel"/>
    <w:tmpl w:val="246829A0"/>
    <w:lvl w:ilvl="0" w:tplc="E22EB03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16439F"/>
    <w:multiLevelType w:val="hybridMultilevel"/>
    <w:tmpl w:val="3F90D8F8"/>
    <w:lvl w:ilvl="0" w:tplc="FFFFFFFF">
      <w:start w:val="1"/>
      <w:numFmt w:val="upperLetter"/>
      <w:lvlText w:val="(%1)"/>
      <w:lvlJc w:val="left"/>
      <w:pPr>
        <w:ind w:left="1440" w:hanging="360"/>
      </w:pPr>
      <w:rPr>
        <w:rFonts w:ascii="Times New Roman" w:eastAsia="Times New Roman" w:hAnsi="Times New Roman" w:cs="Arial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B966BCD"/>
    <w:multiLevelType w:val="hybridMultilevel"/>
    <w:tmpl w:val="8246410A"/>
    <w:lvl w:ilvl="0" w:tplc="826AA902">
      <w:start w:val="1"/>
      <w:numFmt w:val="decimal"/>
      <w:lvlText w:val="%1."/>
      <w:lvlJc w:val="left"/>
      <w:pPr>
        <w:ind w:left="1440" w:hanging="360"/>
      </w:pPr>
      <w:rPr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36372409">
    <w:abstractNumId w:val="0"/>
  </w:num>
  <w:num w:numId="2" w16cid:durableId="1259680363">
    <w:abstractNumId w:val="3"/>
  </w:num>
  <w:num w:numId="3" w16cid:durableId="1712925389">
    <w:abstractNumId w:val="2"/>
  </w:num>
  <w:num w:numId="4" w16cid:durableId="140013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38FB"/>
    <w:rsid w:val="0000533D"/>
    <w:rsid w:val="000069A9"/>
    <w:rsid w:val="00027A64"/>
    <w:rsid w:val="0003198B"/>
    <w:rsid w:val="0003665D"/>
    <w:rsid w:val="00050AB6"/>
    <w:rsid w:val="00051473"/>
    <w:rsid w:val="0005560A"/>
    <w:rsid w:val="0005628D"/>
    <w:rsid w:val="00060995"/>
    <w:rsid w:val="00073C9E"/>
    <w:rsid w:val="0007747C"/>
    <w:rsid w:val="00083289"/>
    <w:rsid w:val="00083BAD"/>
    <w:rsid w:val="00084C18"/>
    <w:rsid w:val="00086958"/>
    <w:rsid w:val="00086A4C"/>
    <w:rsid w:val="00092D64"/>
    <w:rsid w:val="00094789"/>
    <w:rsid w:val="000A4085"/>
    <w:rsid w:val="000A5EAE"/>
    <w:rsid w:val="000A63C1"/>
    <w:rsid w:val="000B0C8F"/>
    <w:rsid w:val="000B5EF8"/>
    <w:rsid w:val="000C3C78"/>
    <w:rsid w:val="000C753C"/>
    <w:rsid w:val="000D42C5"/>
    <w:rsid w:val="000D47B6"/>
    <w:rsid w:val="000D6E9E"/>
    <w:rsid w:val="000E074A"/>
    <w:rsid w:val="000E6751"/>
    <w:rsid w:val="000E7CDD"/>
    <w:rsid w:val="000F2028"/>
    <w:rsid w:val="00101FCF"/>
    <w:rsid w:val="0010261E"/>
    <w:rsid w:val="00102786"/>
    <w:rsid w:val="00102BB0"/>
    <w:rsid w:val="001138B7"/>
    <w:rsid w:val="00113BB3"/>
    <w:rsid w:val="00123B89"/>
    <w:rsid w:val="001304E9"/>
    <w:rsid w:val="00133F0A"/>
    <w:rsid w:val="001356A1"/>
    <w:rsid w:val="00135EC6"/>
    <w:rsid w:val="00136C69"/>
    <w:rsid w:val="00136E6B"/>
    <w:rsid w:val="00137210"/>
    <w:rsid w:val="00140B4F"/>
    <w:rsid w:val="00140F86"/>
    <w:rsid w:val="001447C5"/>
    <w:rsid w:val="00151B36"/>
    <w:rsid w:val="001659D6"/>
    <w:rsid w:val="001769DF"/>
    <w:rsid w:val="00177FFA"/>
    <w:rsid w:val="0018100B"/>
    <w:rsid w:val="00186D72"/>
    <w:rsid w:val="00197144"/>
    <w:rsid w:val="00197329"/>
    <w:rsid w:val="001A424B"/>
    <w:rsid w:val="001B1B40"/>
    <w:rsid w:val="001C3DAB"/>
    <w:rsid w:val="001C4CEB"/>
    <w:rsid w:val="001C693D"/>
    <w:rsid w:val="001D1A8C"/>
    <w:rsid w:val="001D45E8"/>
    <w:rsid w:val="001F78BA"/>
    <w:rsid w:val="00210E2C"/>
    <w:rsid w:val="00214BA0"/>
    <w:rsid w:val="00223AFA"/>
    <w:rsid w:val="00241FD3"/>
    <w:rsid w:val="00250B69"/>
    <w:rsid w:val="00252163"/>
    <w:rsid w:val="00253C3B"/>
    <w:rsid w:val="00256032"/>
    <w:rsid w:val="0025687E"/>
    <w:rsid w:val="00257C27"/>
    <w:rsid w:val="002635EB"/>
    <w:rsid w:val="002639EB"/>
    <w:rsid w:val="00266359"/>
    <w:rsid w:val="00272D20"/>
    <w:rsid w:val="00273B24"/>
    <w:rsid w:val="00282CAA"/>
    <w:rsid w:val="002906F1"/>
    <w:rsid w:val="00291CEB"/>
    <w:rsid w:val="00291DCA"/>
    <w:rsid w:val="002946F0"/>
    <w:rsid w:val="002947D1"/>
    <w:rsid w:val="00295251"/>
    <w:rsid w:val="00296B2B"/>
    <w:rsid w:val="00297523"/>
    <w:rsid w:val="002A5401"/>
    <w:rsid w:val="002B1A22"/>
    <w:rsid w:val="002B1F5D"/>
    <w:rsid w:val="002B4276"/>
    <w:rsid w:val="002B721A"/>
    <w:rsid w:val="002C31EE"/>
    <w:rsid w:val="002C4D40"/>
    <w:rsid w:val="002C6886"/>
    <w:rsid w:val="002C762C"/>
    <w:rsid w:val="002D15F6"/>
    <w:rsid w:val="002D4474"/>
    <w:rsid w:val="002E6F38"/>
    <w:rsid w:val="002F45BF"/>
    <w:rsid w:val="00304149"/>
    <w:rsid w:val="0030644D"/>
    <w:rsid w:val="003121D3"/>
    <w:rsid w:val="00312EB4"/>
    <w:rsid w:val="00315744"/>
    <w:rsid w:val="00316A41"/>
    <w:rsid w:val="00320A58"/>
    <w:rsid w:val="003217E6"/>
    <w:rsid w:val="00335956"/>
    <w:rsid w:val="0033622C"/>
    <w:rsid w:val="003404DF"/>
    <w:rsid w:val="00342459"/>
    <w:rsid w:val="00351E76"/>
    <w:rsid w:val="00373FE5"/>
    <w:rsid w:val="00380D52"/>
    <w:rsid w:val="003811E6"/>
    <w:rsid w:val="00391240"/>
    <w:rsid w:val="003A07D3"/>
    <w:rsid w:val="003A7EB0"/>
    <w:rsid w:val="003B540F"/>
    <w:rsid w:val="003B6116"/>
    <w:rsid w:val="003C2220"/>
    <w:rsid w:val="003D11EF"/>
    <w:rsid w:val="003D3B77"/>
    <w:rsid w:val="003D601B"/>
    <w:rsid w:val="003E13A0"/>
    <w:rsid w:val="003E6785"/>
    <w:rsid w:val="003F64A7"/>
    <w:rsid w:val="003F6A4F"/>
    <w:rsid w:val="00402912"/>
    <w:rsid w:val="00403755"/>
    <w:rsid w:val="00407156"/>
    <w:rsid w:val="00414E0D"/>
    <w:rsid w:val="00430473"/>
    <w:rsid w:val="0043274F"/>
    <w:rsid w:val="004423A3"/>
    <w:rsid w:val="0044538F"/>
    <w:rsid w:val="0045285A"/>
    <w:rsid w:val="00452B2A"/>
    <w:rsid w:val="0045301C"/>
    <w:rsid w:val="00453080"/>
    <w:rsid w:val="00453496"/>
    <w:rsid w:val="0045644D"/>
    <w:rsid w:val="00457B35"/>
    <w:rsid w:val="00461771"/>
    <w:rsid w:val="00462360"/>
    <w:rsid w:val="00465A08"/>
    <w:rsid w:val="00472D7A"/>
    <w:rsid w:val="004803F6"/>
    <w:rsid w:val="004A031A"/>
    <w:rsid w:val="004B1502"/>
    <w:rsid w:val="004B7F3B"/>
    <w:rsid w:val="004C20EA"/>
    <w:rsid w:val="004C4015"/>
    <w:rsid w:val="004C74B6"/>
    <w:rsid w:val="004D328F"/>
    <w:rsid w:val="004D37ED"/>
    <w:rsid w:val="004D6568"/>
    <w:rsid w:val="004E3F2B"/>
    <w:rsid w:val="00503322"/>
    <w:rsid w:val="00516E14"/>
    <w:rsid w:val="005176F1"/>
    <w:rsid w:val="00523940"/>
    <w:rsid w:val="00535FE5"/>
    <w:rsid w:val="005429B8"/>
    <w:rsid w:val="00550F3B"/>
    <w:rsid w:val="005510D9"/>
    <w:rsid w:val="00551480"/>
    <w:rsid w:val="005556D4"/>
    <w:rsid w:val="00562906"/>
    <w:rsid w:val="00562B4A"/>
    <w:rsid w:val="00563DBC"/>
    <w:rsid w:val="005704DC"/>
    <w:rsid w:val="0057263E"/>
    <w:rsid w:val="005732E8"/>
    <w:rsid w:val="00574132"/>
    <w:rsid w:val="00580659"/>
    <w:rsid w:val="00583378"/>
    <w:rsid w:val="005879FB"/>
    <w:rsid w:val="00590D6C"/>
    <w:rsid w:val="00594E8B"/>
    <w:rsid w:val="005960C4"/>
    <w:rsid w:val="005A463F"/>
    <w:rsid w:val="005A6E0E"/>
    <w:rsid w:val="005A7398"/>
    <w:rsid w:val="005B4EE0"/>
    <w:rsid w:val="005C024A"/>
    <w:rsid w:val="005C1324"/>
    <w:rsid w:val="005C6450"/>
    <w:rsid w:val="005D674B"/>
    <w:rsid w:val="005D6A7E"/>
    <w:rsid w:val="005F32CD"/>
    <w:rsid w:val="005F6B28"/>
    <w:rsid w:val="005F7305"/>
    <w:rsid w:val="006007FD"/>
    <w:rsid w:val="006074A7"/>
    <w:rsid w:val="00617D1E"/>
    <w:rsid w:val="00621432"/>
    <w:rsid w:val="00626C9D"/>
    <w:rsid w:val="00630F8E"/>
    <w:rsid w:val="00631C68"/>
    <w:rsid w:val="0063666C"/>
    <w:rsid w:val="00640E6A"/>
    <w:rsid w:val="006431BE"/>
    <w:rsid w:val="00646433"/>
    <w:rsid w:val="00646E1C"/>
    <w:rsid w:val="006525F9"/>
    <w:rsid w:val="006604BD"/>
    <w:rsid w:val="006661C3"/>
    <w:rsid w:val="006667C3"/>
    <w:rsid w:val="00666DF8"/>
    <w:rsid w:val="00671774"/>
    <w:rsid w:val="00682427"/>
    <w:rsid w:val="00685F3C"/>
    <w:rsid w:val="0069024E"/>
    <w:rsid w:val="0069040D"/>
    <w:rsid w:val="00690DD4"/>
    <w:rsid w:val="006936DF"/>
    <w:rsid w:val="006A2E5D"/>
    <w:rsid w:val="006A3805"/>
    <w:rsid w:val="006A3F24"/>
    <w:rsid w:val="006A7D14"/>
    <w:rsid w:val="006B3DFF"/>
    <w:rsid w:val="006B70AF"/>
    <w:rsid w:val="006C202D"/>
    <w:rsid w:val="006C4CEF"/>
    <w:rsid w:val="006D167F"/>
    <w:rsid w:val="006D1FD5"/>
    <w:rsid w:val="006E1B83"/>
    <w:rsid w:val="007047A1"/>
    <w:rsid w:val="00712251"/>
    <w:rsid w:val="00713104"/>
    <w:rsid w:val="00715301"/>
    <w:rsid w:val="00716F7B"/>
    <w:rsid w:val="007231FC"/>
    <w:rsid w:val="00723BD4"/>
    <w:rsid w:val="00723BDF"/>
    <w:rsid w:val="00736DC2"/>
    <w:rsid w:val="00741B7E"/>
    <w:rsid w:val="00743B04"/>
    <w:rsid w:val="0074544A"/>
    <w:rsid w:val="00753C35"/>
    <w:rsid w:val="007613E9"/>
    <w:rsid w:val="00762BDA"/>
    <w:rsid w:val="0076330C"/>
    <w:rsid w:val="00764DE0"/>
    <w:rsid w:val="00772653"/>
    <w:rsid w:val="007769E4"/>
    <w:rsid w:val="00793010"/>
    <w:rsid w:val="00795D41"/>
    <w:rsid w:val="00796BA5"/>
    <w:rsid w:val="007A1FEA"/>
    <w:rsid w:val="007A4550"/>
    <w:rsid w:val="007A4D6B"/>
    <w:rsid w:val="007A6137"/>
    <w:rsid w:val="007B0E19"/>
    <w:rsid w:val="007B6C82"/>
    <w:rsid w:val="007C4707"/>
    <w:rsid w:val="007C6515"/>
    <w:rsid w:val="007C66C3"/>
    <w:rsid w:val="007D0B87"/>
    <w:rsid w:val="007D1F9D"/>
    <w:rsid w:val="007D403C"/>
    <w:rsid w:val="007D47E7"/>
    <w:rsid w:val="008076AE"/>
    <w:rsid w:val="008077EE"/>
    <w:rsid w:val="00807BB1"/>
    <w:rsid w:val="00825448"/>
    <w:rsid w:val="008315F8"/>
    <w:rsid w:val="00831A81"/>
    <w:rsid w:val="00835660"/>
    <w:rsid w:val="0083568F"/>
    <w:rsid w:val="0084069F"/>
    <w:rsid w:val="00840B24"/>
    <w:rsid w:val="00844B36"/>
    <w:rsid w:val="0085370F"/>
    <w:rsid w:val="0085485F"/>
    <w:rsid w:val="008637F2"/>
    <w:rsid w:val="008705CB"/>
    <w:rsid w:val="00872C04"/>
    <w:rsid w:val="008829AB"/>
    <w:rsid w:val="008874D2"/>
    <w:rsid w:val="00890276"/>
    <w:rsid w:val="00890A1F"/>
    <w:rsid w:val="008954A9"/>
    <w:rsid w:val="00895860"/>
    <w:rsid w:val="008A405B"/>
    <w:rsid w:val="008B0B8A"/>
    <w:rsid w:val="008D1A06"/>
    <w:rsid w:val="008D6C4B"/>
    <w:rsid w:val="008E7D98"/>
    <w:rsid w:val="008E7D9B"/>
    <w:rsid w:val="008F5560"/>
    <w:rsid w:val="008F593A"/>
    <w:rsid w:val="0090682F"/>
    <w:rsid w:val="00915A24"/>
    <w:rsid w:val="009174AF"/>
    <w:rsid w:val="00921FDE"/>
    <w:rsid w:val="009226D8"/>
    <w:rsid w:val="00922D61"/>
    <w:rsid w:val="009279FD"/>
    <w:rsid w:val="009353C1"/>
    <w:rsid w:val="009400C8"/>
    <w:rsid w:val="009510CD"/>
    <w:rsid w:val="00964E49"/>
    <w:rsid w:val="00964F8C"/>
    <w:rsid w:val="00985A3A"/>
    <w:rsid w:val="00985E0A"/>
    <w:rsid w:val="00986B62"/>
    <w:rsid w:val="00992233"/>
    <w:rsid w:val="0099724C"/>
    <w:rsid w:val="009A2A78"/>
    <w:rsid w:val="009A4D73"/>
    <w:rsid w:val="009B5790"/>
    <w:rsid w:val="009C0017"/>
    <w:rsid w:val="009C2A6A"/>
    <w:rsid w:val="009C5474"/>
    <w:rsid w:val="009D34B6"/>
    <w:rsid w:val="009D4CA6"/>
    <w:rsid w:val="009E5ABD"/>
    <w:rsid w:val="009E6CBB"/>
    <w:rsid w:val="009E75B1"/>
    <w:rsid w:val="009F0DEE"/>
    <w:rsid w:val="009F4475"/>
    <w:rsid w:val="00A0145C"/>
    <w:rsid w:val="00A05142"/>
    <w:rsid w:val="00A13C83"/>
    <w:rsid w:val="00A2194C"/>
    <w:rsid w:val="00A25371"/>
    <w:rsid w:val="00A2684B"/>
    <w:rsid w:val="00A3122A"/>
    <w:rsid w:val="00A342B3"/>
    <w:rsid w:val="00A41D37"/>
    <w:rsid w:val="00A41DC9"/>
    <w:rsid w:val="00A44F17"/>
    <w:rsid w:val="00A52209"/>
    <w:rsid w:val="00A6312E"/>
    <w:rsid w:val="00A63B06"/>
    <w:rsid w:val="00A771CE"/>
    <w:rsid w:val="00A93EFE"/>
    <w:rsid w:val="00AA0919"/>
    <w:rsid w:val="00AA4047"/>
    <w:rsid w:val="00AA649A"/>
    <w:rsid w:val="00AA7E32"/>
    <w:rsid w:val="00AB0BE0"/>
    <w:rsid w:val="00AB5714"/>
    <w:rsid w:val="00AB5DBF"/>
    <w:rsid w:val="00AC2734"/>
    <w:rsid w:val="00AC60A3"/>
    <w:rsid w:val="00AD4073"/>
    <w:rsid w:val="00AD5BF8"/>
    <w:rsid w:val="00AE195F"/>
    <w:rsid w:val="00AE45CA"/>
    <w:rsid w:val="00AF0DCB"/>
    <w:rsid w:val="00AF1519"/>
    <w:rsid w:val="00B0160D"/>
    <w:rsid w:val="00B02C04"/>
    <w:rsid w:val="00B05550"/>
    <w:rsid w:val="00B132A1"/>
    <w:rsid w:val="00B1423E"/>
    <w:rsid w:val="00B17A9D"/>
    <w:rsid w:val="00B33858"/>
    <w:rsid w:val="00B37DE7"/>
    <w:rsid w:val="00B40FEF"/>
    <w:rsid w:val="00B41350"/>
    <w:rsid w:val="00B41A6C"/>
    <w:rsid w:val="00B42C5A"/>
    <w:rsid w:val="00B46A65"/>
    <w:rsid w:val="00B515A5"/>
    <w:rsid w:val="00B535B4"/>
    <w:rsid w:val="00B606F6"/>
    <w:rsid w:val="00B61024"/>
    <w:rsid w:val="00B62A8D"/>
    <w:rsid w:val="00B654CC"/>
    <w:rsid w:val="00B67C05"/>
    <w:rsid w:val="00B87043"/>
    <w:rsid w:val="00B90B4E"/>
    <w:rsid w:val="00B91F84"/>
    <w:rsid w:val="00B974B0"/>
    <w:rsid w:val="00BB64C9"/>
    <w:rsid w:val="00BC5E52"/>
    <w:rsid w:val="00BD38D5"/>
    <w:rsid w:val="00BD3A2A"/>
    <w:rsid w:val="00BE6E0F"/>
    <w:rsid w:val="00BF1E48"/>
    <w:rsid w:val="00BF365E"/>
    <w:rsid w:val="00C0140F"/>
    <w:rsid w:val="00C026FC"/>
    <w:rsid w:val="00C07C48"/>
    <w:rsid w:val="00C13CD1"/>
    <w:rsid w:val="00C17318"/>
    <w:rsid w:val="00C17425"/>
    <w:rsid w:val="00C174E3"/>
    <w:rsid w:val="00C17968"/>
    <w:rsid w:val="00C17B64"/>
    <w:rsid w:val="00C209C4"/>
    <w:rsid w:val="00C212F2"/>
    <w:rsid w:val="00C2383B"/>
    <w:rsid w:val="00C23C18"/>
    <w:rsid w:val="00C23C46"/>
    <w:rsid w:val="00C339A4"/>
    <w:rsid w:val="00C41EBB"/>
    <w:rsid w:val="00C42406"/>
    <w:rsid w:val="00C4256B"/>
    <w:rsid w:val="00C42A03"/>
    <w:rsid w:val="00C4613C"/>
    <w:rsid w:val="00C475B6"/>
    <w:rsid w:val="00C63EAA"/>
    <w:rsid w:val="00C7075A"/>
    <w:rsid w:val="00C71AAC"/>
    <w:rsid w:val="00C776FE"/>
    <w:rsid w:val="00C864C3"/>
    <w:rsid w:val="00CA2A17"/>
    <w:rsid w:val="00CA4226"/>
    <w:rsid w:val="00CA4306"/>
    <w:rsid w:val="00CA642C"/>
    <w:rsid w:val="00CB214B"/>
    <w:rsid w:val="00CC0414"/>
    <w:rsid w:val="00CC1DE2"/>
    <w:rsid w:val="00CC2F8D"/>
    <w:rsid w:val="00CC6300"/>
    <w:rsid w:val="00CD7FD5"/>
    <w:rsid w:val="00CE42BD"/>
    <w:rsid w:val="00CE4429"/>
    <w:rsid w:val="00CE4EB2"/>
    <w:rsid w:val="00CF0B98"/>
    <w:rsid w:val="00CF36B3"/>
    <w:rsid w:val="00D01884"/>
    <w:rsid w:val="00D04355"/>
    <w:rsid w:val="00D06A99"/>
    <w:rsid w:val="00D127A3"/>
    <w:rsid w:val="00D13EC4"/>
    <w:rsid w:val="00D17C88"/>
    <w:rsid w:val="00D222F2"/>
    <w:rsid w:val="00D22416"/>
    <w:rsid w:val="00D2400F"/>
    <w:rsid w:val="00D24E13"/>
    <w:rsid w:val="00D26D4A"/>
    <w:rsid w:val="00D2763B"/>
    <w:rsid w:val="00D276D6"/>
    <w:rsid w:val="00D31690"/>
    <w:rsid w:val="00D330D2"/>
    <w:rsid w:val="00D41554"/>
    <w:rsid w:val="00D41ABA"/>
    <w:rsid w:val="00D426B1"/>
    <w:rsid w:val="00D463CF"/>
    <w:rsid w:val="00D66564"/>
    <w:rsid w:val="00D6785E"/>
    <w:rsid w:val="00D710F4"/>
    <w:rsid w:val="00D71636"/>
    <w:rsid w:val="00D74061"/>
    <w:rsid w:val="00D761F4"/>
    <w:rsid w:val="00D76607"/>
    <w:rsid w:val="00D7747A"/>
    <w:rsid w:val="00D81B0D"/>
    <w:rsid w:val="00D870D6"/>
    <w:rsid w:val="00D9070F"/>
    <w:rsid w:val="00D96075"/>
    <w:rsid w:val="00D97919"/>
    <w:rsid w:val="00DA6D1D"/>
    <w:rsid w:val="00DA783E"/>
    <w:rsid w:val="00DB3AE0"/>
    <w:rsid w:val="00DC0B97"/>
    <w:rsid w:val="00DC1529"/>
    <w:rsid w:val="00DC51B5"/>
    <w:rsid w:val="00DE248B"/>
    <w:rsid w:val="00DE4AAB"/>
    <w:rsid w:val="00DE5ACB"/>
    <w:rsid w:val="00E06657"/>
    <w:rsid w:val="00E12901"/>
    <w:rsid w:val="00E2296E"/>
    <w:rsid w:val="00E23A0A"/>
    <w:rsid w:val="00E33057"/>
    <w:rsid w:val="00E33275"/>
    <w:rsid w:val="00E373E2"/>
    <w:rsid w:val="00E52C8D"/>
    <w:rsid w:val="00E536BE"/>
    <w:rsid w:val="00E54B16"/>
    <w:rsid w:val="00E5546C"/>
    <w:rsid w:val="00E557EC"/>
    <w:rsid w:val="00E56422"/>
    <w:rsid w:val="00E62DBC"/>
    <w:rsid w:val="00E71631"/>
    <w:rsid w:val="00E71E51"/>
    <w:rsid w:val="00E74B57"/>
    <w:rsid w:val="00E8270D"/>
    <w:rsid w:val="00E83AE6"/>
    <w:rsid w:val="00E869B4"/>
    <w:rsid w:val="00E91C27"/>
    <w:rsid w:val="00E945AC"/>
    <w:rsid w:val="00E9461A"/>
    <w:rsid w:val="00EB0212"/>
    <w:rsid w:val="00EB0A5A"/>
    <w:rsid w:val="00EB3D35"/>
    <w:rsid w:val="00EC01D2"/>
    <w:rsid w:val="00EC028B"/>
    <w:rsid w:val="00EC6C8D"/>
    <w:rsid w:val="00EC7C9D"/>
    <w:rsid w:val="00ED6764"/>
    <w:rsid w:val="00EE2657"/>
    <w:rsid w:val="00EE6D3C"/>
    <w:rsid w:val="00EF40BC"/>
    <w:rsid w:val="00F04D62"/>
    <w:rsid w:val="00F05966"/>
    <w:rsid w:val="00F0658D"/>
    <w:rsid w:val="00F102C8"/>
    <w:rsid w:val="00F1268F"/>
    <w:rsid w:val="00F136AB"/>
    <w:rsid w:val="00F179FB"/>
    <w:rsid w:val="00F278A7"/>
    <w:rsid w:val="00F31687"/>
    <w:rsid w:val="00F35997"/>
    <w:rsid w:val="00F40EA6"/>
    <w:rsid w:val="00F41794"/>
    <w:rsid w:val="00F42C14"/>
    <w:rsid w:val="00F52CF3"/>
    <w:rsid w:val="00F67069"/>
    <w:rsid w:val="00F700BD"/>
    <w:rsid w:val="00F72AC8"/>
    <w:rsid w:val="00F86B4A"/>
    <w:rsid w:val="00F87DE9"/>
    <w:rsid w:val="00F91CB5"/>
    <w:rsid w:val="00F95ADD"/>
    <w:rsid w:val="00F96E65"/>
    <w:rsid w:val="00FA0D76"/>
    <w:rsid w:val="00FA6793"/>
    <w:rsid w:val="00FB59FC"/>
    <w:rsid w:val="00FC69B8"/>
    <w:rsid w:val="00FD60B3"/>
    <w:rsid w:val="00FE4487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00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400C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E564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3</cp:revision>
  <cp:lastPrinted>2019-10-24T15:39:00Z</cp:lastPrinted>
  <dcterms:created xsi:type="dcterms:W3CDTF">2025-12-09T17:07:00Z</dcterms:created>
  <dcterms:modified xsi:type="dcterms:W3CDTF">2025-12-09T17:07:00Z</dcterms:modified>
</cp:coreProperties>
</file>