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05A78"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R451.  Cultural and Community Engagement, Arts and Museums.</w:t>
      </w:r>
    </w:p>
    <w:p w14:paraId="20FB5E73"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R451-3.  Public Art Installation Initiative Application Process.</w:t>
      </w:r>
    </w:p>
    <w:p w14:paraId="666325BC"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R451-3-1.  Purpose.</w:t>
      </w:r>
    </w:p>
    <w:p w14:paraId="04AB93D6"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The purpose of this rule is to establish an application process for the Public Art Installation Initiative consistent with Section 9-6-410.</w:t>
      </w:r>
    </w:p>
    <w:p w14:paraId="455339DB" w14:textId="77777777" w:rsidR="00C00D58" w:rsidRPr="00082B98" w:rsidRDefault="00C00D58" w:rsidP="00C00D58">
      <w:pPr>
        <w:widowControl/>
        <w:pBdr>
          <w:top w:val="nil"/>
          <w:left w:val="nil"/>
          <w:bottom w:val="nil"/>
          <w:right w:val="nil"/>
          <w:between w:val="nil"/>
        </w:pBdr>
        <w:suppressAutoHyphens/>
        <w:rPr>
          <w:sz w:val="18"/>
          <w:szCs w:val="20"/>
        </w:rPr>
      </w:pPr>
    </w:p>
    <w:p w14:paraId="24DF5A7B"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R451-3-2.  Authority.</w:t>
      </w:r>
    </w:p>
    <w:p w14:paraId="279EE4F2"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The authority for this rule is Section 9-6-410, effective May 1, 2024.</w:t>
      </w:r>
    </w:p>
    <w:p w14:paraId="15C1DD9A" w14:textId="77777777" w:rsidR="00C00D58" w:rsidRPr="00082B98" w:rsidRDefault="00C00D58" w:rsidP="00C00D58">
      <w:pPr>
        <w:widowControl/>
        <w:pBdr>
          <w:top w:val="nil"/>
          <w:left w:val="nil"/>
          <w:bottom w:val="nil"/>
          <w:right w:val="nil"/>
          <w:between w:val="nil"/>
        </w:pBdr>
        <w:suppressAutoHyphens/>
        <w:rPr>
          <w:sz w:val="18"/>
          <w:szCs w:val="20"/>
        </w:rPr>
      </w:pPr>
    </w:p>
    <w:p w14:paraId="495F0D93"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R451-3-3.  Definitions.</w:t>
      </w:r>
    </w:p>
    <w:p w14:paraId="5E9895D2"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Terms used in this rule are defined in Sections 9-6-102, 9-6-301, 9-6-403, and 9-6-410.</w:t>
      </w:r>
    </w:p>
    <w:p w14:paraId="1EB875D4" w14:textId="77777777" w:rsidR="00C00D58" w:rsidRPr="00082B98" w:rsidRDefault="00C00D58" w:rsidP="00C00D58">
      <w:pPr>
        <w:widowControl/>
        <w:pBdr>
          <w:top w:val="nil"/>
          <w:left w:val="nil"/>
          <w:bottom w:val="nil"/>
          <w:right w:val="nil"/>
          <w:between w:val="nil"/>
        </w:pBdr>
        <w:suppressAutoHyphens/>
        <w:rPr>
          <w:sz w:val="18"/>
          <w:szCs w:val="20"/>
        </w:rPr>
      </w:pPr>
    </w:p>
    <w:p w14:paraId="258D0602"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R451-3-4.  Application Process.</w:t>
      </w:r>
    </w:p>
    <w:p w14:paraId="2E2C32D9"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1.  The division shall create eligibility guidelines and an application form to be open to applicants during a designated timeframe.</w:t>
      </w:r>
    </w:p>
    <w:p w14:paraId="70A78A8B"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2.  Applicants shall include as part of the application form:</w:t>
      </w:r>
    </w:p>
    <w:p w14:paraId="667ADCEC"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a.  a budget;</w:t>
      </w:r>
    </w:p>
    <w:p w14:paraId="127A2F44"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b.  required information as defined in Subsection 9-6-410(4);</w:t>
      </w:r>
    </w:p>
    <w:p w14:paraId="7473FBE5"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c.  a written agreement from the owner of the public space where the proposed public art installation is to be installed; and</w:t>
      </w:r>
    </w:p>
    <w:p w14:paraId="2093893D"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d.  a maintenance plan with 10-year and 30-year activity and cost projections.</w:t>
      </w:r>
    </w:p>
    <w:p w14:paraId="5704A52D"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3.  Applications must be received by the due date established by the division.</w:t>
      </w:r>
    </w:p>
    <w:p w14:paraId="68419C24"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4.  Eligible applications will be reviewed by a panel organized by the division.</w:t>
      </w:r>
    </w:p>
    <w:p w14:paraId="38100764"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5.  Panel members will use a scoring rubric to evaluate applications based on eligibility, submission date, and application form completion. In the event of limited funding, panel members will also consider the quality of the written grant application and demonstrated project excellence in determining award recommendations.</w:t>
      </w:r>
    </w:p>
    <w:p w14:paraId="59F859E6"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6.  Panel award recommendations will be approved by the board.</w:t>
      </w:r>
    </w:p>
    <w:p w14:paraId="279DACD7"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sz w:val="18"/>
          <w:szCs w:val="20"/>
        </w:rPr>
        <w:tab/>
        <w:t>7.  Upon board approval, applicants will be notified of award.</w:t>
      </w:r>
    </w:p>
    <w:p w14:paraId="66FC773D" w14:textId="77777777" w:rsidR="00C00D58" w:rsidRPr="00082B98" w:rsidRDefault="00C00D58" w:rsidP="00C00D58">
      <w:pPr>
        <w:widowControl/>
        <w:pBdr>
          <w:top w:val="nil"/>
          <w:left w:val="nil"/>
          <w:bottom w:val="nil"/>
          <w:right w:val="nil"/>
          <w:between w:val="nil"/>
        </w:pBdr>
        <w:suppressAutoHyphens/>
        <w:rPr>
          <w:sz w:val="18"/>
          <w:szCs w:val="20"/>
        </w:rPr>
      </w:pPr>
    </w:p>
    <w:p w14:paraId="7E7755C5"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KEY:  art in public places, art financing</w:t>
      </w:r>
    </w:p>
    <w:p w14:paraId="43225503" w14:textId="479185BD"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 xml:space="preserve">Date of Last Change:  </w:t>
      </w:r>
      <w:r w:rsidR="006D0B3C" w:rsidRPr="00082B98">
        <w:rPr>
          <w:b/>
          <w:sz w:val="18"/>
          <w:szCs w:val="20"/>
        </w:rPr>
        <w:t xml:space="preserve">December 15, </w:t>
      </w:r>
      <w:r w:rsidRPr="00082B98">
        <w:rPr>
          <w:b/>
          <w:sz w:val="18"/>
          <w:szCs w:val="20"/>
        </w:rPr>
        <w:t>2025</w:t>
      </w:r>
    </w:p>
    <w:p w14:paraId="1724240B" w14:textId="77777777" w:rsidR="00C00D58" w:rsidRPr="00082B98" w:rsidRDefault="00C00D58" w:rsidP="00C00D58">
      <w:pPr>
        <w:widowControl/>
        <w:pBdr>
          <w:top w:val="nil"/>
          <w:left w:val="nil"/>
          <w:bottom w:val="nil"/>
          <w:right w:val="nil"/>
          <w:between w:val="nil"/>
        </w:pBdr>
        <w:suppressAutoHyphens/>
        <w:rPr>
          <w:sz w:val="18"/>
          <w:szCs w:val="20"/>
        </w:rPr>
      </w:pPr>
      <w:r w:rsidRPr="00082B98">
        <w:rPr>
          <w:b/>
          <w:sz w:val="18"/>
          <w:szCs w:val="20"/>
        </w:rPr>
        <w:t>Authorizing, and Implemented or Interpreted Law:  9-6-410</w:t>
      </w:r>
    </w:p>
    <w:p w14:paraId="60876634" w14:textId="77777777" w:rsidR="00C00D58" w:rsidRPr="00082B98" w:rsidRDefault="00C00D58" w:rsidP="00C00D58">
      <w:pPr>
        <w:widowControl/>
        <w:suppressAutoHyphens/>
        <w:rPr>
          <w:sz w:val="18"/>
        </w:rPr>
      </w:pPr>
    </w:p>
    <w:p w14:paraId="0323BD65" w14:textId="27711032" w:rsidR="00443442" w:rsidRPr="00082B98" w:rsidRDefault="00443442" w:rsidP="00C00D58">
      <w:pPr>
        <w:widowControl/>
        <w:suppressAutoHyphens/>
        <w:rPr>
          <w:sz w:val="18"/>
        </w:rPr>
      </w:pPr>
    </w:p>
    <w:sectPr w:rsidR="00443442" w:rsidRPr="00082B98" w:rsidSect="00082B9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804D2" w14:textId="77777777" w:rsidR="00D82F09" w:rsidRDefault="00D82F09" w:rsidP="00C17968">
      <w:r>
        <w:separator/>
      </w:r>
    </w:p>
  </w:endnote>
  <w:endnote w:type="continuationSeparator" w:id="0">
    <w:p w14:paraId="75107149" w14:textId="77777777" w:rsidR="00D82F09" w:rsidRDefault="00D82F0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72DC0" w14:textId="77777777" w:rsidR="00D82F09" w:rsidRDefault="00D82F09" w:rsidP="00C17968">
      <w:r>
        <w:separator/>
      </w:r>
    </w:p>
  </w:footnote>
  <w:footnote w:type="continuationSeparator" w:id="0">
    <w:p w14:paraId="656D90BC" w14:textId="77777777" w:rsidR="00D82F09" w:rsidRDefault="00D82F0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2B98"/>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56E36"/>
    <w:rsid w:val="001659D6"/>
    <w:rsid w:val="001769DF"/>
    <w:rsid w:val="0018100B"/>
    <w:rsid w:val="00197144"/>
    <w:rsid w:val="00197329"/>
    <w:rsid w:val="001B1B40"/>
    <w:rsid w:val="001C3DAB"/>
    <w:rsid w:val="001C4CEB"/>
    <w:rsid w:val="001D1A8C"/>
    <w:rsid w:val="001D45E8"/>
    <w:rsid w:val="001D50F4"/>
    <w:rsid w:val="001F78BA"/>
    <w:rsid w:val="00210E2C"/>
    <w:rsid w:val="00214BA0"/>
    <w:rsid w:val="00223AFA"/>
    <w:rsid w:val="00250B69"/>
    <w:rsid w:val="00252163"/>
    <w:rsid w:val="00253C3B"/>
    <w:rsid w:val="00256032"/>
    <w:rsid w:val="0025687E"/>
    <w:rsid w:val="002639EB"/>
    <w:rsid w:val="00266359"/>
    <w:rsid w:val="00272D20"/>
    <w:rsid w:val="0028250F"/>
    <w:rsid w:val="00282CAA"/>
    <w:rsid w:val="00291CEB"/>
    <w:rsid w:val="00291DCA"/>
    <w:rsid w:val="00293CB2"/>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315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C2DCD"/>
    <w:rsid w:val="003D11EF"/>
    <w:rsid w:val="003D3B77"/>
    <w:rsid w:val="003D601B"/>
    <w:rsid w:val="003E13A0"/>
    <w:rsid w:val="003E6785"/>
    <w:rsid w:val="003F64A7"/>
    <w:rsid w:val="003F6A4F"/>
    <w:rsid w:val="00402912"/>
    <w:rsid w:val="00403755"/>
    <w:rsid w:val="00414E0D"/>
    <w:rsid w:val="00430473"/>
    <w:rsid w:val="0043274F"/>
    <w:rsid w:val="004423A3"/>
    <w:rsid w:val="00443442"/>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0A3E"/>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0B3C"/>
    <w:rsid w:val="006D167F"/>
    <w:rsid w:val="006D1FD5"/>
    <w:rsid w:val="006E1B83"/>
    <w:rsid w:val="006E1F2C"/>
    <w:rsid w:val="007047A1"/>
    <w:rsid w:val="00713104"/>
    <w:rsid w:val="007132CD"/>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47C2F"/>
    <w:rsid w:val="0085485F"/>
    <w:rsid w:val="008637F2"/>
    <w:rsid w:val="008705CB"/>
    <w:rsid w:val="00872C04"/>
    <w:rsid w:val="008829AB"/>
    <w:rsid w:val="00886D7F"/>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33F93"/>
    <w:rsid w:val="00937A1B"/>
    <w:rsid w:val="009510CD"/>
    <w:rsid w:val="00964E49"/>
    <w:rsid w:val="00964F8C"/>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0D58"/>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82F09"/>
    <w:rsid w:val="00D96075"/>
    <w:rsid w:val="00D97919"/>
    <w:rsid w:val="00DA6D1D"/>
    <w:rsid w:val="00DA783E"/>
    <w:rsid w:val="00DB3AE0"/>
    <w:rsid w:val="00DC0B97"/>
    <w:rsid w:val="00DC1529"/>
    <w:rsid w:val="00DC51B5"/>
    <w:rsid w:val="00DE05B6"/>
    <w:rsid w:val="00DE4AAB"/>
    <w:rsid w:val="00E05181"/>
    <w:rsid w:val="00E06657"/>
    <w:rsid w:val="00E06C5D"/>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2025-12-16T19:29:00Z</dcterms:created>
  <dcterms:modified xsi:type="dcterms:W3CDTF">2025-12-16T19:29:00Z</dcterms:modified>
</cp:coreProperties>
</file>