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AEF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R698.  Public Safety, Administration.</w:t>
      </w:r>
    </w:p>
    <w:p w14:paraId="0EB4837C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R698-14.  Security Improvement Certification.</w:t>
      </w:r>
    </w:p>
    <w:p w14:paraId="3E24F26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R698-14-1.  Purpose.</w:t>
      </w:r>
    </w:p>
    <w:p w14:paraId="2A7448C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This rule establishes the procedure for an individual to apply to the department for a protection certificate.</w:t>
      </w:r>
    </w:p>
    <w:p w14:paraId="4A18378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1E173C51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R698-14-2.  Authority.</w:t>
      </w:r>
    </w:p>
    <w:p w14:paraId="7C71B614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This rule is authorized by Section 53-30-201.</w:t>
      </w:r>
    </w:p>
    <w:p w14:paraId="3163287C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4414E36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R698-14-3.  Definitions.</w:t>
      </w:r>
    </w:p>
    <w:p w14:paraId="7064D5C2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(1)  Terms used in this rule are defined in Sections 53-1-102 and 53-30-101.</w:t>
      </w:r>
    </w:p>
    <w:p w14:paraId="6769708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(2)  In addition, "i</w:t>
      </w:r>
      <w:r w:rsidRPr="001F2455">
        <w:rPr>
          <w:sz w:val="18"/>
          <w:szCs w:val="20"/>
          <w:shd w:val="clear" w:color="auto" w:fill="FFFFFF"/>
        </w:rPr>
        <w:t>mmediate family member" means an applicant's spouse, child, parent, or grandparent who resides with the applicant.</w:t>
      </w:r>
    </w:p>
    <w:p w14:paraId="530EF16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7F4F56F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R698-14-4.  Application Process.</w:t>
      </w:r>
    </w:p>
    <w:p w14:paraId="21C7AF60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In addition to the information required in Subsection 53-30-201(1), the application for certification shall include:</w:t>
      </w:r>
    </w:p>
    <w:p w14:paraId="049FBC89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(1)  engineering certification of the proposed security improvement from an individual licensed under Subsection 58-22-302(2);</w:t>
      </w:r>
    </w:p>
    <w:p w14:paraId="7F109242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(2)  specific information supporting the credible threat, including:</w:t>
      </w:r>
    </w:p>
    <w:p w14:paraId="39C7DA8C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(a)  reports of a Utah law enforcement agency documenting the threat to the applicant or the applicant's immediate family member; or</w:t>
      </w:r>
    </w:p>
    <w:p w14:paraId="43180E57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(b)  reports from a Utah law enforcement agency documenting physical harm;</w:t>
      </w:r>
    </w:p>
    <w:p w14:paraId="0CEB058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(3)  full names and dates of birth for each individual residing on the property;</w:t>
      </w:r>
    </w:p>
    <w:p w14:paraId="2F3F2744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(4)  fingerprint cards of the applicant and each adult residing on the property, including consent for the department to conduct a criminal background investigation;</w:t>
      </w:r>
    </w:p>
    <w:p w14:paraId="24D229C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(5)  descriptions of other security measures implemented;</w:t>
      </w:r>
    </w:p>
    <w:p w14:paraId="2D999B79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(6)  if other security measures have not been implemented, a statement describing why other security measures have not been implemented, or are inadequate or not effective;</w:t>
      </w:r>
    </w:p>
    <w:p w14:paraId="78EE452C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(7)  the name and contact information of the municipal or building official with jurisdiction of the property;</w:t>
      </w:r>
    </w:p>
    <w:p w14:paraId="67E0AF7B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(8)  records of prior building permit applications including any reasons for denial from the building official;</w:t>
      </w:r>
    </w:p>
    <w:p w14:paraId="31B8DD52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(9)  copies of county or land use regulations which prohibit the approval of the building permit;</w:t>
      </w:r>
    </w:p>
    <w:p w14:paraId="1C0F7240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(10)  photos of existing structures taken from property line, and 500 feet from property documenting each side of existing structures;</w:t>
      </w:r>
    </w:p>
    <w:p w14:paraId="179EC477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(11)  renderings of proposed visual changes to existing structures;</w:t>
      </w:r>
    </w:p>
    <w:p w14:paraId="40E3BA16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(12)  a statement acknowledging and accepting that the land use authority may require any additions, alteration or improvement made under the protection certificate be removed before sale or transfer of the property; and</w:t>
      </w:r>
    </w:p>
    <w:p w14:paraId="7B66A1F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(13)  records of ownership and financial information demonstrating compliance with Title 63L, Chapter 13, Restrictions on Foreign Acquisitions of Land Act.</w:t>
      </w:r>
    </w:p>
    <w:p w14:paraId="2B5FDDD1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17CD5C31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R698-14-5.  Review of Application.</w:t>
      </w:r>
    </w:p>
    <w:p w14:paraId="3C567F4B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(1)  The certifying officer shall review any information available and shall establish that:</w:t>
      </w:r>
    </w:p>
    <w:p w14:paraId="5D5E42A0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(a)  the threat or harm is verified and has been reported to law enforcement agency with jurisdiction of the property;</w:t>
      </w:r>
    </w:p>
    <w:p w14:paraId="042EE0ED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(b)  the threats are current and ongoing;</w:t>
      </w:r>
    </w:p>
    <w:p w14:paraId="15778DB0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(c)  other security measures have been implemented or improved;</w:t>
      </w:r>
    </w:p>
    <w:p w14:paraId="26834526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(d)  the applicant and other residents have had a fingerprint-based background check are not involved in illegal activities; and</w:t>
      </w:r>
    </w:p>
    <w:p w14:paraId="15007CBA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(e)  the improvements are not related to an illegal purpose, plan, or scheme.</w:t>
      </w:r>
    </w:p>
    <w:p w14:paraId="4EBDAEB5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(2)  The certifying officer may discuss defensibility of the proposed improvement with the fire authority having jurisdiction, and the local law enforcement entity.</w:t>
      </w:r>
    </w:p>
    <w:p w14:paraId="5DE42600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(a)  If the proposed improvements would endanger the occupants due to lack of egress in a fire, the certification may be denied until appropriate fire protection or egress is established in the proposed plans.</w:t>
      </w:r>
    </w:p>
    <w:p w14:paraId="1492BC73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(b)  The certifying officer may discuss with the applicant the potential that the improvement may limit law enforcement's ability to respond to incidents.</w:t>
      </w:r>
    </w:p>
    <w:p w14:paraId="5C543136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24F0CF9E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R698-14-6.  Consultation with Building Authority.</w:t>
      </w:r>
    </w:p>
    <w:p w14:paraId="4559A28F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The certifying officer shall confidentially consult with the building authority named under Subsection R698-14-4(8) regarding potential mitigation of any material adverse effects a proposed security improvement would cause if the proposed security improvement would be visible to an individual standing within 500 feet of the protected property.</w:t>
      </w:r>
    </w:p>
    <w:p w14:paraId="1ABE30B4" w14:textId="77777777" w:rsidR="0047418E" w:rsidRPr="001F2455" w:rsidRDefault="0047418E" w:rsidP="0047418E">
      <w:pPr>
        <w:widowControl/>
        <w:suppressAutoHyphens/>
        <w:contextualSpacing/>
        <w:rPr>
          <w:bCs/>
          <w:sz w:val="18"/>
          <w:szCs w:val="20"/>
        </w:rPr>
      </w:pPr>
    </w:p>
    <w:p w14:paraId="0D5F1A52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b/>
          <w:bCs/>
          <w:sz w:val="18"/>
          <w:szCs w:val="20"/>
        </w:rPr>
        <w:t>R698-14-7.  Protection Certificate.</w:t>
      </w:r>
    </w:p>
    <w:p w14:paraId="148186B8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  <w:r w:rsidRPr="001F2455">
        <w:rPr>
          <w:sz w:val="18"/>
          <w:szCs w:val="20"/>
        </w:rPr>
        <w:tab/>
        <w:t>The protection certificate shall clearly state the certificate expires two years after the day the certificate was issued in accordance with Subsection 53-30-301(1).</w:t>
      </w:r>
    </w:p>
    <w:p w14:paraId="481A0CE5" w14:textId="77777777" w:rsidR="0047418E" w:rsidRPr="001F2455" w:rsidRDefault="0047418E" w:rsidP="0047418E">
      <w:pPr>
        <w:widowControl/>
        <w:suppressAutoHyphens/>
        <w:contextualSpacing/>
        <w:rPr>
          <w:sz w:val="18"/>
          <w:szCs w:val="20"/>
        </w:rPr>
      </w:pPr>
    </w:p>
    <w:p w14:paraId="2A6D950B" w14:textId="77777777" w:rsidR="0047418E" w:rsidRPr="001F2455" w:rsidRDefault="0047418E" w:rsidP="0047418E">
      <w:pPr>
        <w:widowControl/>
        <w:suppressAutoHyphens/>
        <w:autoSpaceDE/>
        <w:autoSpaceDN/>
        <w:adjustRightInd/>
        <w:rPr>
          <w:rFonts w:eastAsia="Aptos"/>
          <w:kern w:val="2"/>
          <w:sz w:val="18"/>
          <w:szCs w:val="20"/>
          <w14:ligatures w14:val="standardContextual"/>
        </w:rPr>
      </w:pPr>
      <w:r w:rsidRPr="001F2455">
        <w:rPr>
          <w:rFonts w:eastAsia="Aptos"/>
          <w:b/>
          <w:bCs/>
          <w:kern w:val="2"/>
          <w:sz w:val="18"/>
          <w:szCs w:val="20"/>
          <w14:ligatures w14:val="standardContextual"/>
        </w:rPr>
        <w:lastRenderedPageBreak/>
        <w:t>KEY:  law enforcement, security improvements, protection certificate</w:t>
      </w:r>
    </w:p>
    <w:p w14:paraId="48FB9765" w14:textId="39AAACC6" w:rsidR="0047418E" w:rsidRPr="001F2455" w:rsidRDefault="0047418E" w:rsidP="0047418E">
      <w:pPr>
        <w:widowControl/>
        <w:suppressAutoHyphens/>
        <w:autoSpaceDE/>
        <w:autoSpaceDN/>
        <w:adjustRightInd/>
        <w:rPr>
          <w:rFonts w:eastAsia="Aptos"/>
          <w:kern w:val="2"/>
          <w:sz w:val="18"/>
          <w:szCs w:val="20"/>
          <w14:ligatures w14:val="standardContextual"/>
        </w:rPr>
      </w:pPr>
      <w:r w:rsidRPr="001F2455">
        <w:rPr>
          <w:rFonts w:eastAsia="Aptos"/>
          <w:b/>
          <w:bCs/>
          <w:kern w:val="2"/>
          <w:sz w:val="18"/>
          <w:szCs w:val="20"/>
          <w14:ligatures w14:val="standardContextual"/>
        </w:rPr>
        <w:t xml:space="preserve">Date of Last Change:  </w:t>
      </w:r>
      <w:r w:rsidR="000734A0" w:rsidRPr="001F2455">
        <w:rPr>
          <w:rFonts w:eastAsia="Aptos"/>
          <w:b/>
          <w:bCs/>
          <w:kern w:val="2"/>
          <w:sz w:val="18"/>
          <w:szCs w:val="20"/>
          <w14:ligatures w14:val="standardContextual"/>
        </w:rPr>
        <w:t xml:space="preserve">December 9, </w:t>
      </w:r>
      <w:r w:rsidRPr="001F2455">
        <w:rPr>
          <w:rFonts w:eastAsia="Aptos"/>
          <w:b/>
          <w:bCs/>
          <w:kern w:val="2"/>
          <w:sz w:val="18"/>
          <w:szCs w:val="20"/>
          <w14:ligatures w14:val="standardContextual"/>
        </w:rPr>
        <w:t>2025</w:t>
      </w:r>
    </w:p>
    <w:p w14:paraId="76EBD3B5" w14:textId="77777777" w:rsidR="0047418E" w:rsidRPr="001F2455" w:rsidRDefault="0047418E" w:rsidP="0047418E">
      <w:pPr>
        <w:widowControl/>
        <w:suppressAutoHyphens/>
        <w:autoSpaceDE/>
        <w:autoSpaceDN/>
        <w:adjustRightInd/>
        <w:rPr>
          <w:rFonts w:eastAsia="Aptos"/>
          <w:kern w:val="2"/>
          <w:sz w:val="18"/>
          <w:szCs w:val="20"/>
          <w14:ligatures w14:val="standardContextual"/>
        </w:rPr>
      </w:pPr>
      <w:r w:rsidRPr="001F2455">
        <w:rPr>
          <w:rFonts w:eastAsia="Aptos"/>
          <w:b/>
          <w:bCs/>
          <w:kern w:val="2"/>
          <w:sz w:val="18"/>
          <w:szCs w:val="20"/>
          <w14:ligatures w14:val="standardContextual"/>
        </w:rPr>
        <w:t>Authorizing, and Implemented or Interpreted Law:  53-30-201</w:t>
      </w:r>
    </w:p>
    <w:p w14:paraId="5025B4AC" w14:textId="77777777" w:rsidR="0047418E" w:rsidRPr="001F2455" w:rsidRDefault="0047418E" w:rsidP="0047418E">
      <w:pPr>
        <w:widowControl/>
        <w:suppressAutoHyphens/>
        <w:rPr>
          <w:sz w:val="18"/>
          <w:szCs w:val="20"/>
        </w:rPr>
      </w:pPr>
    </w:p>
    <w:p w14:paraId="1BE67298" w14:textId="1AAD46FD" w:rsidR="00282941" w:rsidRPr="001F2455" w:rsidRDefault="00282941" w:rsidP="0047418E">
      <w:pPr>
        <w:widowControl/>
        <w:suppressAutoHyphens/>
        <w:rPr>
          <w:sz w:val="18"/>
        </w:rPr>
      </w:pPr>
    </w:p>
    <w:sectPr w:rsidR="00282941" w:rsidRPr="001F2455" w:rsidSect="001F2455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4DC1D" w14:textId="77777777" w:rsidR="00361F7F" w:rsidRDefault="00361F7F" w:rsidP="00C17968">
      <w:r>
        <w:separator/>
      </w:r>
    </w:p>
  </w:endnote>
  <w:endnote w:type="continuationSeparator" w:id="0">
    <w:p w14:paraId="6DD83266" w14:textId="77777777" w:rsidR="00361F7F" w:rsidRDefault="00361F7F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512FA" w14:textId="77777777" w:rsidR="00361F7F" w:rsidRDefault="00361F7F" w:rsidP="00C17968">
      <w:r>
        <w:separator/>
      </w:r>
    </w:p>
  </w:footnote>
  <w:footnote w:type="continuationSeparator" w:id="0">
    <w:p w14:paraId="76A644A6" w14:textId="77777777" w:rsidR="00361F7F" w:rsidRDefault="00361F7F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734A0"/>
    <w:rsid w:val="00083289"/>
    <w:rsid w:val="00083BAD"/>
    <w:rsid w:val="00086A4C"/>
    <w:rsid w:val="00092D64"/>
    <w:rsid w:val="00094789"/>
    <w:rsid w:val="000A2A87"/>
    <w:rsid w:val="000A4085"/>
    <w:rsid w:val="000A5EAE"/>
    <w:rsid w:val="000A63C1"/>
    <w:rsid w:val="000B0C8F"/>
    <w:rsid w:val="000B5EF8"/>
    <w:rsid w:val="000C3C78"/>
    <w:rsid w:val="000C753C"/>
    <w:rsid w:val="000D42C5"/>
    <w:rsid w:val="000D47B6"/>
    <w:rsid w:val="000D6E9E"/>
    <w:rsid w:val="000E074A"/>
    <w:rsid w:val="000E3BEA"/>
    <w:rsid w:val="000E6751"/>
    <w:rsid w:val="000E7CDD"/>
    <w:rsid w:val="000F2028"/>
    <w:rsid w:val="00101FCF"/>
    <w:rsid w:val="0010261E"/>
    <w:rsid w:val="00102786"/>
    <w:rsid w:val="00102BB0"/>
    <w:rsid w:val="00110DA7"/>
    <w:rsid w:val="001138B7"/>
    <w:rsid w:val="00113BB3"/>
    <w:rsid w:val="00123B89"/>
    <w:rsid w:val="001304E9"/>
    <w:rsid w:val="00133F0A"/>
    <w:rsid w:val="00135EC6"/>
    <w:rsid w:val="00136C69"/>
    <w:rsid w:val="00136E6B"/>
    <w:rsid w:val="00137900"/>
    <w:rsid w:val="00140B4F"/>
    <w:rsid w:val="00140F86"/>
    <w:rsid w:val="001447C5"/>
    <w:rsid w:val="00151B36"/>
    <w:rsid w:val="001619B7"/>
    <w:rsid w:val="001659D6"/>
    <w:rsid w:val="001769DF"/>
    <w:rsid w:val="0018100B"/>
    <w:rsid w:val="001941E1"/>
    <w:rsid w:val="00197144"/>
    <w:rsid w:val="00197329"/>
    <w:rsid w:val="001B1B40"/>
    <w:rsid w:val="001C3DAB"/>
    <w:rsid w:val="001C4CEB"/>
    <w:rsid w:val="001D1A8C"/>
    <w:rsid w:val="001D45E8"/>
    <w:rsid w:val="001F2455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6796B"/>
    <w:rsid w:val="00272D20"/>
    <w:rsid w:val="00282941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35956"/>
    <w:rsid w:val="0033622C"/>
    <w:rsid w:val="00342459"/>
    <w:rsid w:val="00351E76"/>
    <w:rsid w:val="00361F7F"/>
    <w:rsid w:val="00373FE5"/>
    <w:rsid w:val="00380D52"/>
    <w:rsid w:val="003811E6"/>
    <w:rsid w:val="00381399"/>
    <w:rsid w:val="003A4878"/>
    <w:rsid w:val="003B540F"/>
    <w:rsid w:val="003B6116"/>
    <w:rsid w:val="003C2220"/>
    <w:rsid w:val="003D11EF"/>
    <w:rsid w:val="003D3B77"/>
    <w:rsid w:val="003D601B"/>
    <w:rsid w:val="003E13A0"/>
    <w:rsid w:val="003E6785"/>
    <w:rsid w:val="003F64A7"/>
    <w:rsid w:val="003F6A4F"/>
    <w:rsid w:val="00402912"/>
    <w:rsid w:val="00403755"/>
    <w:rsid w:val="00414E0D"/>
    <w:rsid w:val="00430473"/>
    <w:rsid w:val="0043274F"/>
    <w:rsid w:val="004423A3"/>
    <w:rsid w:val="0045285A"/>
    <w:rsid w:val="00452B2A"/>
    <w:rsid w:val="00457B35"/>
    <w:rsid w:val="00462360"/>
    <w:rsid w:val="00465A08"/>
    <w:rsid w:val="0047418E"/>
    <w:rsid w:val="004803F6"/>
    <w:rsid w:val="004A031A"/>
    <w:rsid w:val="004B7F3B"/>
    <w:rsid w:val="004C20EA"/>
    <w:rsid w:val="004C4015"/>
    <w:rsid w:val="004C74B6"/>
    <w:rsid w:val="004D328F"/>
    <w:rsid w:val="004D6568"/>
    <w:rsid w:val="004F65CD"/>
    <w:rsid w:val="00503322"/>
    <w:rsid w:val="00516E14"/>
    <w:rsid w:val="00523940"/>
    <w:rsid w:val="005429B8"/>
    <w:rsid w:val="00550F3B"/>
    <w:rsid w:val="00551480"/>
    <w:rsid w:val="005556D4"/>
    <w:rsid w:val="00561B46"/>
    <w:rsid w:val="00562B4A"/>
    <w:rsid w:val="00563DBC"/>
    <w:rsid w:val="005704DC"/>
    <w:rsid w:val="00571190"/>
    <w:rsid w:val="0057263E"/>
    <w:rsid w:val="005732E8"/>
    <w:rsid w:val="00574132"/>
    <w:rsid w:val="00580659"/>
    <w:rsid w:val="00583378"/>
    <w:rsid w:val="005879FB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639D"/>
    <w:rsid w:val="005C6450"/>
    <w:rsid w:val="005D674B"/>
    <w:rsid w:val="005D6A7E"/>
    <w:rsid w:val="005F32CD"/>
    <w:rsid w:val="005F6B28"/>
    <w:rsid w:val="005F7305"/>
    <w:rsid w:val="00617D1E"/>
    <w:rsid w:val="00620F5A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7047A1"/>
    <w:rsid w:val="0070603C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63D0"/>
    <w:rsid w:val="007769E4"/>
    <w:rsid w:val="00793010"/>
    <w:rsid w:val="00795D41"/>
    <w:rsid w:val="00796BA5"/>
    <w:rsid w:val="007A1FEA"/>
    <w:rsid w:val="007A4D6B"/>
    <w:rsid w:val="007A6137"/>
    <w:rsid w:val="007B6C82"/>
    <w:rsid w:val="007C655D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0CF9"/>
    <w:rsid w:val="0085485F"/>
    <w:rsid w:val="008637F2"/>
    <w:rsid w:val="008705CB"/>
    <w:rsid w:val="00872C04"/>
    <w:rsid w:val="008829AB"/>
    <w:rsid w:val="0088371D"/>
    <w:rsid w:val="008874D2"/>
    <w:rsid w:val="00890276"/>
    <w:rsid w:val="00890A1F"/>
    <w:rsid w:val="008918ED"/>
    <w:rsid w:val="00895860"/>
    <w:rsid w:val="008A405B"/>
    <w:rsid w:val="008B0B8A"/>
    <w:rsid w:val="008D15BC"/>
    <w:rsid w:val="008D6C4B"/>
    <w:rsid w:val="008E238E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4D73"/>
    <w:rsid w:val="009B057C"/>
    <w:rsid w:val="009B1690"/>
    <w:rsid w:val="009B5790"/>
    <w:rsid w:val="009C0017"/>
    <w:rsid w:val="009C2A6A"/>
    <w:rsid w:val="009D34B6"/>
    <w:rsid w:val="009E5ABD"/>
    <w:rsid w:val="009E75B1"/>
    <w:rsid w:val="009F0DEE"/>
    <w:rsid w:val="00A0145C"/>
    <w:rsid w:val="00A2194C"/>
    <w:rsid w:val="00A2684B"/>
    <w:rsid w:val="00A41D37"/>
    <w:rsid w:val="00A44F17"/>
    <w:rsid w:val="00A52209"/>
    <w:rsid w:val="00A6312E"/>
    <w:rsid w:val="00A74C40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059A7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90B4E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7075A"/>
    <w:rsid w:val="00C71AAC"/>
    <w:rsid w:val="00C77FCF"/>
    <w:rsid w:val="00C864C3"/>
    <w:rsid w:val="00CA2A17"/>
    <w:rsid w:val="00CA4226"/>
    <w:rsid w:val="00CA4306"/>
    <w:rsid w:val="00CA642C"/>
    <w:rsid w:val="00CB214B"/>
    <w:rsid w:val="00CC0414"/>
    <w:rsid w:val="00CC1DE2"/>
    <w:rsid w:val="00CC2844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569B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83CB5"/>
    <w:rsid w:val="00D9070F"/>
    <w:rsid w:val="00D96075"/>
    <w:rsid w:val="00D97919"/>
    <w:rsid w:val="00DA6D1D"/>
    <w:rsid w:val="00DA783E"/>
    <w:rsid w:val="00DB3AE0"/>
    <w:rsid w:val="00DC0B97"/>
    <w:rsid w:val="00DC1529"/>
    <w:rsid w:val="00DC51B5"/>
    <w:rsid w:val="00DE4AAB"/>
    <w:rsid w:val="00E06657"/>
    <w:rsid w:val="00E12901"/>
    <w:rsid w:val="00E2296E"/>
    <w:rsid w:val="00E23A0A"/>
    <w:rsid w:val="00E33057"/>
    <w:rsid w:val="00E33275"/>
    <w:rsid w:val="00E373E2"/>
    <w:rsid w:val="00E378D6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5449"/>
    <w:rsid w:val="00ED6764"/>
    <w:rsid w:val="00EE2657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3506"/>
    <w:rsid w:val="00F35997"/>
    <w:rsid w:val="00F40EA6"/>
    <w:rsid w:val="00F41794"/>
    <w:rsid w:val="00F42C14"/>
    <w:rsid w:val="00F5186C"/>
    <w:rsid w:val="00F63D2C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NoSpacing">
    <w:name w:val="No Spacing"/>
    <w:uiPriority w:val="1"/>
    <w:qFormat/>
    <w:rsid w:val="005C639D"/>
    <w:pPr>
      <w:spacing w:after="0" w:line="240" w:lineRule="auto"/>
    </w:pPr>
    <w:rPr>
      <w:kern w:val="2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776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2025-12-10T18:53:00Z</dcterms:created>
  <dcterms:modified xsi:type="dcterms:W3CDTF">2025-12-10T18:53:00Z</dcterms:modified>
</cp:coreProperties>
</file>